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782172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美术学院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667385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美术学院2023级2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180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环境设计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设计艺术考察1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视觉传达设计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设计艺术考察1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美术学院2023级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180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97.8%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美术学院2023级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视觉传达设计，环境设计2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0.9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环境设计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环境设计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85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视觉传达设计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89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0.8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176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157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0.9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176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157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0.9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美术学院2023级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5.4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91.5%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环境设计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87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467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5.4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417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89.3%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视觉传达设计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2023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89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489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5.5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458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93.7%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美术学院</w:t>
            </w:r>
          </w:p>
        </w:tc>
        <w:tc>
          <w:tcPr>
            <w:tcW w:w="24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176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956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5.4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875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91.5%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15"/>
      <w:footerReference w:type="first" r:id="rId16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3392711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5818249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footer" Target="footer4.xml" /><Relationship Id="rId16" Type="http://schemas.openxmlformats.org/officeDocument/2006/relationships/footer" Target="footer5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美术学院2023级其他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环境设计</c:v>
              </c:pt>
              <c:pt idx="1">
                <c:v>视觉传达设计</c:v>
              </c:pt>
            </c:strLit>
          </c:cat>
          <c:val>
            <c:numLit>
              <c:ptCount val="2"/>
              <c:pt idx="0" formatCode="General">
                <c:v>90</c:v>
              </c:pt>
              <c:pt idx="1" formatCode="General">
                <c:v>90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环境设计</c:v>
              </c:pt>
              <c:pt idx="1">
                <c:v>视觉传达设计</c:v>
              </c:pt>
            </c:strLit>
          </c:cat>
          <c:val>
            <c:numLit>
              <c:ptCount val="2"/>
              <c:pt idx="0" formatCode="General">
                <c:v>87</c:v>
              </c:pt>
              <c:pt idx="1" formatCode="General">
                <c:v>89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环境设计</c:v>
              </c:pt>
              <c:pt idx="1">
                <c:v>视觉传达设计</c:v>
              </c:pt>
            </c:strLit>
          </c:cat>
          <c:val>
            <c:numLit>
              <c:ptCount val="2"/>
              <c:pt idx="0" formatCode="General">
                <c:v>87</c:v>
              </c:pt>
              <c:pt idx="1" formatCode="General">
                <c:v>89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