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0 -->
  <w:body>
    <w:p w:rsidR="00A9525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96pt">
            <v:imagedata r:id="rId5" o:title=""/>
            <o:lock v:ext="edit" aspectratio="t"/>
          </v:shape>
        </w:pict>
      </w:r>
    </w:p>
    <w:p w:rsidR="00A95256">
      <w:pPr>
        <w:jc w:val="center"/>
      </w:pP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width:120.1pt;height:39pt;margin-top:160.4pt;margin-left:311.3pt;mso-height-relative:page;mso-width-relative:page;position:absolute;z-index:251658240" filled="f" stroked="f">
            <v:textbox>
              <w:txbxContent>
                <w:p w:rsidR="00A95256">
                  <w:pPr>
                    <w:jc w:val="left"/>
                    <w:rPr>
                      <w:rFonts w:ascii="微软雅黑" w:eastAsia="微软雅黑" w:hAnsi="微软雅黑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/>
                      <w:b/>
                      <w:bCs/>
                      <w:noProof/>
                      <w:color w:val="404040" w:themeColor="text1" w:themeTint="BF"/>
                      <w:sz w:val="36"/>
                      <w:szCs w:val="36"/>
                    </w:rPr>
                    <w:t>3</w:t>
                  </w:r>
                  <w:r>
                    <w:rPr>
                      <w:rFonts w:ascii="微软雅黑" w:eastAsia="微软雅黑" w:hAnsi="微软雅黑" w:hint="eastAsia"/>
                      <w:b/>
                      <w:bCs/>
                      <w:color w:val="404040" w:themeColor="text1" w:themeTint="BF"/>
                      <w:sz w:val="36"/>
                      <w:szCs w:val="36"/>
                    </w:rPr>
                    <w:t>月</w:t>
                  </w:r>
                </w:p>
              </w:txbxContent>
            </v:textbox>
          </v:shape>
        </w:pict>
      </w:r>
      <w:r>
        <w:rPr>
          <w:rFonts w:ascii="微软雅黑" w:eastAsia="微软雅黑" w:hAnsi="微软雅黑"/>
          <w:noProof/>
        </w:rPr>
        <w:drawing>
          <wp:inline distT="0" distB="0" distL="0" distR="0">
            <wp:extent cx="3095625" cy="2527935"/>
            <wp:effectExtent l="0" t="0" r="0" b="0"/>
            <wp:docPr id="9" name="图片 2" descr="D:\用户目录\我的文档\Tencent Files\329613245\FileRecv\封面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256365" name="图片 2" descr="D:\用户目录\我的文档\Tencent Files\329613245\FileRecv\封面_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2447" cy="253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 w:rsidRPr="00366773" w:rsidP="00366773">
      <w:pPr>
        <w:tabs>
          <w:tab w:val="left" w:pos="4320"/>
        </w:tabs>
        <w:jc w:val="center"/>
        <w:rPr>
          <w:rFonts w:ascii="微软雅黑" w:eastAsia="微软雅黑" w:hAnsi="微软雅黑"/>
          <w:sz w:val="44"/>
          <w:szCs w:val="44"/>
        </w:rPr>
      </w:pPr>
      <w:r>
        <w:rPr>
          <w:rFonts w:ascii="微软雅黑" w:eastAsia="微软雅黑" w:hAnsi="微软雅黑"/>
          <w:noProof/>
          <w:sz w:val="44"/>
          <w:szCs w:val="44"/>
        </w:rPr>
        <w:t>物理与电子信息学院</w:t>
      </w: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</w:pPr>
    </w:p>
    <w:p w:rsidR="00A95256">
      <w:pPr>
        <w:tabs>
          <w:tab w:val="left" w:pos="4320"/>
        </w:tabs>
        <w:jc w:val="center"/>
        <w:rPr>
          <w:rFonts w:ascii="微软雅黑" w:eastAsia="微软雅黑" w:hAnsi="微软雅黑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748" w:bottom="1440" w:left="805" w:header="284" w:footer="992" w:gutter="0"/>
          <w:cols w:space="720"/>
          <w:titlePg/>
          <w:docGrid w:linePitch="312"/>
        </w:sect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2538730" cy="165417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809051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8730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256">
      <w:pPr>
        <w:spacing w:line="360" w:lineRule="auto"/>
        <w:ind w:left="141" w:leftChars="67"/>
        <w:jc w:val="center"/>
        <w:rPr>
          <w:rFonts w:ascii="微软雅黑" w:eastAsia="微软雅黑" w:hAnsi="微软雅黑"/>
          <w:sz w:val="48"/>
          <w:szCs w:val="48"/>
        </w:rPr>
      </w:pPr>
      <w:r>
        <w:rPr>
          <w:rStyle w:val="2Char"/>
          <w:rFonts w:ascii="微软雅黑" w:eastAsia="微软雅黑" w:hAnsi="微软雅黑" w:cs="微软雅黑" w:hint="eastAsia"/>
          <w:sz w:val="48"/>
          <w:szCs w:val="48"/>
        </w:rPr>
        <w:t>实践教学月报</w:t>
      </w:r>
    </w:p>
    <w:p w:rsidR="00A95256">
      <w:pPr>
        <w:tabs>
          <w:tab w:val="left" w:pos="4320"/>
        </w:tabs>
        <w:spacing w:line="360" w:lineRule="auto"/>
        <w:jc w:val="center"/>
        <w:rPr>
          <w:rFonts w:ascii="微软雅黑" w:eastAsia="微软雅黑" w:hAnsi="微软雅黑"/>
          <w:sz w:val="24"/>
          <w:u w:val="single"/>
        </w:rPr>
      </w:pPr>
      <w:r>
        <w:rPr>
          <w:rFonts w:ascii="微软雅黑" w:eastAsia="微软雅黑" w:hAnsi="微软雅黑"/>
          <w:noProof/>
          <w:sz w:val="24"/>
          <w:u w:val="single"/>
        </w:rPr>
        <w:t>2024年3月</w:t>
      </w:r>
    </w:p>
    <w:p w:rsidR="00A95256">
      <w:pPr>
        <w:adjustRightInd w:val="0"/>
        <w:snapToGrid w:val="0"/>
        <w:spacing w:line="360" w:lineRule="auto"/>
        <w:jc w:val="left"/>
        <w:outlineLvl w:val="0"/>
        <w:rPr>
          <w:rFonts w:ascii="微软雅黑" w:eastAsia="微软雅黑" w:hAnsi="微软雅黑"/>
          <w:b/>
          <w:bCs/>
          <w:color w:val="C00000"/>
          <w:sz w:val="28"/>
          <w:szCs w:val="28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Segoe UI Symbol" w:hAnsi="Segoe UI Symbol" w:eastAsiaTheme="minorEastAsia" w:cs="Segoe UI Symbol" w:hint="eastAsia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hint="eastAsia"/>
          <w:b/>
          <w:bCs/>
          <w:color w:val="C00000"/>
          <w:sz w:val="28"/>
          <w:szCs w:val="28"/>
        </w:rPr>
        <w:t>实习概况</w:t>
      </w:r>
    </w:p>
    <w:p w:rsidR="00A95256">
      <w:pPr>
        <w:adjustRightInd w:val="0"/>
        <w:snapToGrid w:val="0"/>
        <w:spacing w:line="360" w:lineRule="auto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您好：</w:t>
      </w:r>
    </w:p>
    <w:p w:rsidR="00A95256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感谢对校友邦的认可和支持！</w:t>
      </w:r>
    </w:p>
    <w:p w:rsidR="00A95256" w:rsidRPr="0055365C" w:rsidP="0055365C">
      <w:pPr>
        <w:adjustRightInd w:val="0"/>
        <w:snapToGrid w:val="0"/>
        <w:spacing w:line="360" w:lineRule="auto"/>
        <w:ind w:firstLine="420" w:firstLineChars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以下是贵校数据概述：</w:t>
      </w:r>
      <w:bookmarkStart w:id="0" w:name="_GoBack"/>
      <w:bookmarkEnd w:id="0"/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物理与电子信息学院2020级2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333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254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408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，自主实习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408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408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，审核了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个岗位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208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物理与电子信息学院2021级1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名学生，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其中已有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名学生参与了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，共计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，集中实习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根据各实习计划安排，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个专业学生只需要在计划安排的时间范围内完成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周实习。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个专业共有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名老师参与了实习指导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436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日志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具体情况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1、实践课程考核要求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1400"/>
        <w:gridCol w:w="800"/>
        <w:gridCol w:w="1200"/>
        <w:gridCol w:w="500"/>
        <w:gridCol w:w="700"/>
        <w:gridCol w:w="1200"/>
        <w:gridCol w:w="1900"/>
        <w:gridCol w:w="15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8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8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实习课程</w:t>
            </w:r>
          </w:p>
        </w:tc>
        <w:tc>
          <w:tcPr>
            <w:tcW w:w="5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学分</w:t>
            </w:r>
          </w:p>
        </w:tc>
        <w:tc>
          <w:tcPr>
            <w:tcW w:w="7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</w:t>
            </w:r>
          </w:p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形式</w:t>
            </w:r>
          </w:p>
        </w:tc>
        <w:tc>
          <w:tcPr>
            <w:tcW w:w="12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实习时间</w:t>
            </w:r>
          </w:p>
        </w:tc>
        <w:tc>
          <w:tcPr>
            <w:tcW w:w="19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实习过程资料要求</w:t>
            </w:r>
          </w:p>
        </w:tc>
        <w:tc>
          <w:tcPr>
            <w:tcW w:w="15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实习总结资料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物理学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从业技能训练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签到+日志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电子信息工程</w:t>
            </w:r>
          </w:p>
        </w:tc>
        <w:tc>
          <w:tcPr>
            <w:tcW w:w="8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14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物联网工程</w:t>
            </w:r>
          </w:p>
        </w:tc>
        <w:tc>
          <w:tcPr>
            <w:tcW w:w="8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毕业实习1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物联网工程</w:t>
            </w:r>
          </w:p>
        </w:tc>
        <w:tc>
          <w:tcPr>
            <w:tcW w:w="800" w:type="dxa"/>
            <w:vMerge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物联网系统设计</w:t>
            </w:r>
          </w:p>
        </w:tc>
        <w:tc>
          <w:tcPr>
            <w:tcW w:w="5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</w:t>
            </w:r>
          </w:p>
        </w:tc>
        <w:tc>
          <w:tcPr>
            <w:tcW w:w="7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集中安排</w:t>
            </w:r>
          </w:p>
        </w:tc>
        <w:tc>
          <w:tcPr>
            <w:tcW w:w="1200" w:type="dxa"/>
            <w:vMerge w:val="restart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8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14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物联网工程</w:t>
            </w:r>
          </w:p>
        </w:tc>
        <w:tc>
          <w:tcPr>
            <w:tcW w:w="800" w:type="dxa"/>
            <w:vMerge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毕业实习2</w:t>
            </w:r>
          </w:p>
        </w:tc>
        <w:tc>
          <w:tcPr>
            <w:tcW w:w="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</w:t>
            </w:r>
          </w:p>
        </w:tc>
        <w:tc>
          <w:tcPr>
            <w:tcW w:w="7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自主安排</w:t>
            </w:r>
          </w:p>
        </w:tc>
        <w:tc>
          <w:tcPr>
            <w:tcW w:w="12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/</w:t>
            </w:r>
          </w:p>
        </w:tc>
        <w:tc>
          <w:tcPr>
            <w:tcW w:w="1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签到+周志</w:t>
            </w:r>
          </w:p>
        </w:tc>
        <w:tc>
          <w:tcPr>
            <w:tcW w:w="15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实习报告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2、实习参与情况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毕业实习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424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408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96.2%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2387600"/>
            <wp:docPr id="100012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3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其他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，计划实习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人次，已参与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人次，其中集中实习为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人次，参与率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854200"/>
            <wp:docPr id="100014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3、日/周/月志提交情况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日以下学院日/周/月志提交情况：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物联网工程，电子信息工程2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2.1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电子信息工程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3.2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物理学1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个专业要求学生提交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日志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，人均提交篇数为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物理学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人均提交篇数已达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400"/>
        <w:gridCol w:w="2000"/>
        <w:gridCol w:w="1000"/>
        <w:gridCol w:w="1600"/>
        <w:gridCol w:w="1000"/>
        <w:gridCol w:w="1000"/>
        <w:gridCol w:w="10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24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6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0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物理学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76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日志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610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8.0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电子信息工程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98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318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3.2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2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物联网工程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382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684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1.8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4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30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556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1612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2.9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3600"/>
        <w:gridCol w:w="2400"/>
        <w:gridCol w:w="1000"/>
        <w:gridCol w:w="1600"/>
        <w:gridCol w:w="14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36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2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2600" w:type="dxa"/>
            <w:gridSpan w:val="2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日/周/月/志提交总数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人均篇数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76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日志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610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8.0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36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2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480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周志</w:t>
            </w:r>
          </w:p>
        </w:tc>
        <w:tc>
          <w:tcPr>
            <w:tcW w:w="16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1002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2.1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4、签到统计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物理与电子信息学院2020级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16.4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92.2%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物理与电子信息学院2021级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个专业均在计划中设置了要求学生签到，截止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月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日人均签到天数为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8.2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天，签到正常率为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100.0%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tbl>
      <w:tblPr>
        <w:tblW w:w="0" w:type="auto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900"/>
        <w:gridCol w:w="1400"/>
        <w:gridCol w:w="1000"/>
        <w:gridCol w:w="1400"/>
        <w:gridCol w:w="1300"/>
        <w:gridCol w:w="1400"/>
        <w:gridCol w:w="1300"/>
        <w:gridCol w:w="900"/>
      </w:tblGrid>
      <w:tr>
        <w:tblPrEx>
          <w:tblW w:w="0" w:type="auto"/>
          <w:jc w:val="center"/>
          <w:tblInd w:w="4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00"/>
          <w:jc w:val="center"/>
        </w:trPr>
        <w:tc>
          <w:tcPr>
            <w:tcW w:w="1900" w:type="dxa"/>
            <w:tcBorders>
              <w:top w:val="single" w:sz="16" w:space="0" w:color="000000"/>
              <w:left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学院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专业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年级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实习参与人数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签到总天数</w:t>
            </w:r>
          </w:p>
        </w:tc>
        <w:tc>
          <w:tcPr>
            <w:tcW w:w="14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人均签到天数</w:t>
            </w:r>
          </w:p>
        </w:tc>
        <w:tc>
          <w:tcPr>
            <w:tcW w:w="1300" w:type="dxa"/>
            <w:tcBorders>
              <w:top w:val="single" w:sz="16" w:space="0" w:color="000000"/>
              <w:left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正常签到天数</w:t>
            </w:r>
          </w:p>
        </w:tc>
        <w:tc>
          <w:tcPr>
            <w:tcW w:w="900" w:type="dxa"/>
            <w:tcBorders>
              <w:top w:val="single" w:sz="16" w:space="0" w:color="000000"/>
              <w:left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/>
                <w:sz w:val="18"/>
                <w:szCs w:val="21"/>
              </w:rPr>
              <w:t>正常率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 w:val="restart"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物理学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2021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76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622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8.2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622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100.0%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电子信息工程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98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2595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26.5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2500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96.3%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物联网工程</w:t>
            </w:r>
          </w:p>
        </w:tc>
        <w:tc>
          <w:tcPr>
            <w:tcW w:w="10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2020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382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5268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13.8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4749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8" w:space="0" w:color="DBDBDB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90.1%</w:t>
            </w:r>
          </w:p>
        </w:tc>
      </w:tr>
      <w:tr>
        <w:tblPrEx>
          <w:tblW w:w="0" w:type="auto"/>
          <w:jc w:val="center"/>
          <w:tblInd w:w="400" w:type="dxa"/>
          <w:tblLayout w:type="fixed"/>
          <w:tblCellMar>
            <w:left w:w="108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900" w:type="dxa"/>
            <w:vMerge/>
            <w:tcBorders>
              <w:top w:val="single" w:sz="8" w:space="0" w:color="DBDBDB"/>
              <w:left w:val="single" w:sz="16" w:space="0" w:color="000000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物理与电子信息学院</w:t>
            </w:r>
          </w:p>
        </w:tc>
        <w:tc>
          <w:tcPr>
            <w:tcW w:w="2400" w:type="dxa"/>
            <w:gridSpan w:val="2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合计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556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8485</w:t>
            </w:r>
          </w:p>
        </w:tc>
        <w:tc>
          <w:tcPr>
            <w:tcW w:w="14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15.3</w:t>
            </w:r>
          </w:p>
        </w:tc>
        <w:tc>
          <w:tcPr>
            <w:tcW w:w="13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8" w:space="0" w:color="DBDBDB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7871</w:t>
            </w:r>
          </w:p>
        </w:tc>
        <w:tc>
          <w:tcPr>
            <w:tcW w:w="900" w:type="dxa"/>
            <w:tcBorders>
              <w:top w:val="single" w:sz="8" w:space="0" w:color="DBDBDB"/>
              <w:left w:val="single" w:sz="8" w:space="0" w:color="DBDBDB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A95256" w:rsidRPr="0055365C" w:rsidP="0055365C">
            <w:pPr>
              <w:adjustRightInd w:val="0"/>
              <w:snapToGrid w:val="0"/>
              <w:spacing w:line="240" w:lineRule="atLeast"/>
              <w:ind w:firstLine="0"/>
              <w:jc w:val="center"/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</w:pPr>
            <w:r w:rsidRPr="0055365C">
              <w:rPr>
                <w:rFonts w:ascii="微软雅黑" w:eastAsia="微软雅黑" w:hAnsi="微软雅黑" w:cs="微软雅黑"/>
                <w:b w:val="0"/>
                <w:color w:val="000000"/>
                <w:sz w:val="18"/>
                <w:szCs w:val="21"/>
              </w:rPr>
              <w:t>92.8%</w:t>
            </w:r>
          </w:p>
        </w:tc>
      </w:tr>
    </w:tbl>
    <w:p w:rsidR="00A95256" w:rsidRPr="0055365C" w:rsidP="0055365C">
      <w:pPr>
        <w:adjustRightInd w:val="0"/>
        <w:snapToGrid w:val="0"/>
        <w:spacing w:line="240" w:lineRule="atLeast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5、实习报告提交情况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480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294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61.3%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15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，需要提交实习报告人次为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76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人，报告提交人次为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73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人，实习报告提交率均为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96.1%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6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6、指导老师指导情况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(1) 日周月志批阅情况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物理与电子信息学院2020级，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周志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20.8%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高静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17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物理与电子信息学院2021级，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日志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的平均批阅率为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71.5%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，其中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荆莉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308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18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b/>
          <w:bCs/>
          <w:color w:val="000000"/>
          <w:kern w:val="0"/>
          <w:szCs w:val="21"/>
        </w:rPr>
        <w:t>(2) 实习报告批阅情况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物理与电子信息学院2020级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2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0.0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张秀梅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930400"/>
            <wp:docPr id="100019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物理与电子信息学院2021级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个专业平均批阅率为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11.0%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,其中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荆莉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老师批阅了</w:t>
      </w:r>
      <w:r>
        <w:rPr>
          <w:rFonts w:ascii="微软雅黑" w:eastAsia="微软雅黑" w:hAnsi="微软雅黑" w:cs="微软雅黑"/>
          <w:color w:val="C00000"/>
          <w:kern w:val="0"/>
          <w:szCs w:val="21"/>
        </w:rPr>
        <w:t>8</w:t>
      </w:r>
      <w:r>
        <w:rPr>
          <w:rFonts w:ascii="微软雅黑" w:eastAsia="微软雅黑" w:hAnsi="微软雅黑" w:cs="微软雅黑"/>
          <w:color w:val="000000"/>
          <w:kern w:val="0"/>
          <w:szCs w:val="21"/>
        </w:rPr>
        <w:t>篇。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drawing>
          <wp:inline>
            <wp:extent cx="5080000" cy="1574800"/>
            <wp:docPr id="100020" name="" title="图表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lef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>
        <w:rPr>
          <w:rFonts w:ascii="Segoe UI Symbol" w:eastAsia="Segoe UI Symbol" w:hAnsi="Segoe UI Symbol" w:cs="Segoe UI Symbol"/>
          <w:color w:val="C00000"/>
          <w:kern w:val="0"/>
          <w:sz w:val="28"/>
          <w:szCs w:val="28"/>
        </w:rPr>
        <w:t>❖</w:t>
      </w:r>
      <w:r>
        <w:rPr>
          <w:rFonts w:ascii="微软雅黑" w:eastAsia="微软雅黑" w:hAnsi="微软雅黑" w:cs="微软雅黑"/>
          <w:color w:val="C00000"/>
          <w:kern w:val="0"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bCs/>
          <w:color w:val="C00000"/>
          <w:kern w:val="0"/>
          <w:sz w:val="28"/>
          <w:szCs w:val="28"/>
        </w:rPr>
        <w:t>物理与电子信息学院优秀周日月志</w:t>
      </w:r>
    </w:p>
    <w:p w:rsidR="00A95256" w:rsidRPr="0055365C" w:rsidP="0055365C">
      <w:pPr>
        <w:adjustRightInd w:val="0"/>
        <w:snapToGrid w:val="0"/>
        <w:spacing w:line="360" w:lineRule="auto"/>
        <w:ind w:firstLine="0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C00000"/>
          <w:kern w:val="0"/>
          <w:szCs w:val="21"/>
        </w:rPr>
        <w:t>第一周周志</w:t>
      </w:r>
    </w:p>
    <w:p>
      <w:pPr>
        <w:widowControl/>
        <w:spacing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这周，我有幸在诺萱通讯店的产品售后部门实习，这段经历让我对通讯产品的售后服务有了更加深入的认识和体验。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周一，我带着对未知的好奇和对学习的热情踏入了诺萱通讯店。刚进入产品售后部门，我便被这里的忙碌氛围所吸引。我的导师是一位资深的售后工程师，他详细地为我介绍了产品售后的基本流程、常见问题及其解决方案。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周二开始，我正式投入到了售后服务的实际工作中。我的主要任务是协助工程师处理客户的售后问题，包括产品安装、软件更新、故障排查等。在处理这些问题的过程中，我深感每一个细节都至关重要。例如，一次看似简单的软件更新，背后却涉及到了多个步骤和注意事项。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周三，我遇到了一位因为手机信号问题而困扰的客户。在深入了解情况后，我发现这是一个较为复杂的硬件问题。在导师的指导下，我学习了如何进行硬件检测和更换，并最终为客户解决了问题。这次经历让我深刻体会到了售后服务的专业性和挑战性。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周四，我开始参与售后部门的内部培训。通过培训，我更加深入地了解了通讯产品的技术原理、常见故障及其维修方法。同时，我也学到了如何与客户沟通、如何快速定位问题等实用技巧。这次培训让我受益匪浅，也让我对自己的工作有了更加清晰的认识。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周五，我参与了一次售后服务团队的总结会议。在会议中，我听到了同事们分享的一些成功案例和经验教训。这些分享让我更加明白了售后服务的重要性和挑战性。同时，我也对自己的实习经历进行了反思和总结，认识到了自己在工作中的不足和需要改进的地方。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通过这一周的实习，我对通讯产品的售后服务有了更加深入的了解和体验。我深刻认识到了售后服务在通讯行业中的重要性，它不仅关系到客户的满意度和忠诚度，更是企业形象和竞争力的重要体现。同时，我也认识到了自己在专业知识和沟通能力等方面的不足，需要在未来的学习和工作中不断努力提升。</w:t>
      </w:r>
    </w:p>
    <w:p>
      <w:pPr>
        <w:widowControl/>
        <w:spacing w:before="210" w:after="210"/>
        <w:jc w:val="left"/>
        <w:rPr>
          <w:rFonts w:ascii="微软雅黑" w:eastAsia="微软雅黑" w:hAnsi="微软雅黑" w:cs="微软雅黑"/>
          <w:color w:val="000000"/>
          <w:kern w:val="0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回顾这一周的实习经历，我收获颇丰。我不仅学到了很多实用的专业知识和技能，还深刻体会到了团队合作和沟通的重要性。在未来的学习和工作中，我将继续努力，不断提升自己的综合素质和能力水平，为成为一名优秀的售后服务工程师而努力奋斗。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left"/>
        <w:rPr>
          <w:rFonts w:ascii="微软雅黑" w:eastAsia="微软雅黑" w:hAnsi="微软雅黑"/>
          <w:szCs w:val="21"/>
        </w:rPr>
      </w:pPr>
    </w:p>
    <w:p w:rsidR="00A95256" w:rsidRPr="0055365C" w:rsidP="0055365C">
      <w:pPr>
        <w:adjustRightInd w:val="0"/>
        <w:snapToGrid w:val="0"/>
        <w:spacing w:line="360" w:lineRule="auto"/>
        <w:ind w:firstLine="420"/>
        <w:jc w:val="right"/>
        <w:rPr>
          <w:rFonts w:ascii="微软雅黑" w:eastAsia="微软雅黑" w:hAnsi="微软雅黑"/>
          <w:szCs w:val="21"/>
        </w:rPr>
      </w:pP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  <w:r w:rsidRPr="0055365C">
        <w:rPr>
          <w:rFonts w:ascii="微软雅黑" w:eastAsia="微软雅黑" w:hAnsi="微软雅黑"/>
          <w:szCs w:val="21"/>
        </w:rPr>
        <w:br/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浙江校友邦科技有限公司</w:t>
      </w:r>
      <w:r>
        <w:rPr>
          <w:rFonts w:ascii="Times New Roman" w:eastAsia="Times New Roman" w:hAnsi="Times New Roman" w:cs="Times New Roman"/>
          <w:kern w:val="0"/>
          <w:sz w:val="24"/>
        </w:rPr>
        <w:t>      </w:t>
      </w:r>
    </w:p>
    <w:p w:rsidR="00A95256" w:rsidRPr="0055365C" w:rsidP="0055365C">
      <w:pPr>
        <w:adjustRightInd w:val="0"/>
        <w:snapToGrid w:val="0"/>
        <w:spacing w:line="360" w:lineRule="auto"/>
        <w:ind w:firstLine="420"/>
        <w:jc w:val="righ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微软雅黑"/>
          <w:color w:val="000000"/>
          <w:kern w:val="0"/>
          <w:szCs w:val="21"/>
        </w:rPr>
        <w:t>2024.04.02</w:t>
      </w:r>
      <w:r>
        <w:rPr>
          <w:rFonts w:ascii="Times New Roman" w:eastAsia="Times New Roman" w:hAnsi="Times New Roman" w:cs="Times New Roman"/>
          <w:kern w:val="0"/>
          <w:sz w:val="24"/>
        </w:rPr>
        <w:t>              </w:t>
      </w:r>
    </w:p>
    <w:sectPr>
      <w:footerReference w:type="default" r:id="rId23"/>
      <w:footerReference w:type="first" r:id="rId24"/>
      <w:pgSz w:w="11906" w:h="16838"/>
      <w:pgMar w:top="1440" w:right="1080" w:bottom="1440" w:left="1080" w:header="283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 Symbol">
    <w:altName w:val="苹方-简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2049" type="#_x0000_t202" style="width:2in;height:2in;margin-top:0;margin-left:0;mso-height-relative:page;mso-position-horizontal:center;mso-position-horizontal-relative:margin;mso-width-relative:page;mso-wrap-style:none;position:absolute;z-index:251658240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55365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50" type="#_x0000_t202" style="width:2in;height:2in;margin-top:0;margin-left:0;mso-height-relative:page;mso-position-horizontal:center;mso-position-horizontal-relative:margin;mso-width-relative:page;mso-wrap-style:none;position:absolute;z-index:251659264" filled="f" stroked="f" strokeweight="0.5pt">
          <v:textbox style="mso-fit-shape-to-text:t" inset="0,0,0,0">
            <w:txbxContent>
              <w:p w:rsidR="00A95256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rFonts w:hint="eastAsia"/>
        <w:noProof/>
      </w:rPr>
      <w:drawing>
        <wp:inline distT="0" distB="0" distL="114300" distR="114300">
          <wp:extent cx="6560185" cy="431165"/>
          <wp:effectExtent l="0" t="0" r="12065" b="6985"/>
          <wp:docPr id="1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67612" name="图片 1" descr="页眉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rcRect b="1594"/>
                  <a:stretch>
                    <a:fillRect/>
                  </a:stretch>
                </pic:blipFill>
                <pic:spPr>
                  <a:xfrm>
                    <a:off x="0" y="0"/>
                    <a:ext cx="6560185" cy="431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95256">
    <w:pPr>
      <w:pStyle w:val="Header"/>
      <w:pBdr>
        <w:bottom w:val="single" w:sz="6" w:space="1" w:color="F8F8F8"/>
      </w:pBdr>
    </w:pPr>
    <w:r>
      <w:rPr>
        <w:noProof/>
      </w:rPr>
      <w:drawing>
        <wp:inline distT="0" distB="0" distL="0" distR="0">
          <wp:extent cx="6571615" cy="774065"/>
          <wp:effectExtent l="0" t="0" r="635" b="6985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5465259" name="图片 23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161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8F"/>
    <w:rsid w:val="00366773"/>
    <w:rsid w:val="0048298F"/>
    <w:rsid w:val="0055365C"/>
    <w:rsid w:val="005D43A4"/>
    <w:rsid w:val="0061399E"/>
    <w:rsid w:val="0065347A"/>
    <w:rsid w:val="00A50C98"/>
    <w:rsid w:val="00A95256"/>
    <w:rsid w:val="00AB20C3"/>
    <w:rsid w:val="00C5153B"/>
    <w:rsid w:val="00C911DC"/>
    <w:rsid w:val="00CD02F4"/>
    <w:rsid w:val="12F7602D"/>
    <w:rsid w:val="1C744CBF"/>
    <w:rsid w:val="247F3A70"/>
    <w:rsid w:val="24E64719"/>
    <w:rsid w:val="26185D90"/>
    <w:rsid w:val="28D97940"/>
    <w:rsid w:val="2C144DE1"/>
    <w:rsid w:val="2D466457"/>
    <w:rsid w:val="2E797ACE"/>
    <w:rsid w:val="2E8B14AE"/>
    <w:rsid w:val="33910AAB"/>
    <w:rsid w:val="34C42121"/>
    <w:rsid w:val="35F63798"/>
    <w:rsid w:val="37284E0F"/>
    <w:rsid w:val="3EBD617F"/>
    <w:rsid w:val="40D048E5"/>
    <w:rsid w:val="42AD2B71"/>
    <w:rsid w:val="548E7A08"/>
    <w:rsid w:val="6E45347A"/>
    <w:rsid w:val="75733B41"/>
    <w:rsid w:val="78271E31"/>
    <w:rsid w:val="78A371FC"/>
    <w:rsid w:val="7DBD5C5A"/>
    <w:rsid w:val="7E0D464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link w:val="Heading2"/>
    <w:qFormat/>
    <w:rPr>
      <w:rFonts w:ascii="Arial" w:eastAsia="黑体" w:hAnsi="Arial"/>
      <w:b/>
      <w:sz w:val="32"/>
    </w:rPr>
  </w:style>
  <w:style w:type="character" w:customStyle="1" w:styleId="Char">
    <w:name w:val="批注框文本 Char"/>
    <w:basedOn w:val="DefaultParagraphFont"/>
    <w:link w:val="BalloonText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image" Target="media/image5.jpeg" /><Relationship Id="rId14" Type="http://schemas.openxmlformats.org/officeDocument/2006/relationships/chart" Target="charts/chart1.xml" /><Relationship Id="rId15" Type="http://schemas.openxmlformats.org/officeDocument/2006/relationships/chart" Target="charts/chart2.xml" /><Relationship Id="rId16" Type="http://schemas.openxmlformats.org/officeDocument/2006/relationships/chart" Target="charts/chart3.xml" /><Relationship Id="rId17" Type="http://schemas.openxmlformats.org/officeDocument/2006/relationships/chart" Target="charts/chart4.xml" /><Relationship Id="rId18" Type="http://schemas.openxmlformats.org/officeDocument/2006/relationships/chart" Target="charts/chart5.xml" /><Relationship Id="rId19" Type="http://schemas.openxmlformats.org/officeDocument/2006/relationships/chart" Target="charts/chart6.xml" /><Relationship Id="rId2" Type="http://schemas.openxmlformats.org/officeDocument/2006/relationships/webSettings" Target="webSettings.xml" /><Relationship Id="rId20" Type="http://schemas.openxmlformats.org/officeDocument/2006/relationships/chart" Target="charts/chart7.xml" /><Relationship Id="rId21" Type="http://schemas.openxmlformats.org/officeDocument/2006/relationships/chart" Target="charts/chart8.xml" /><Relationship Id="rId22" Type="http://schemas.openxmlformats.org/officeDocument/2006/relationships/chart" Target="charts/chart9.xml" /><Relationship Id="rId23" Type="http://schemas.openxmlformats.org/officeDocument/2006/relationships/footer" Target="footer4.xml" /><Relationship Id="rId24" Type="http://schemas.openxmlformats.org/officeDocument/2006/relationships/footer" Target="footer5.xml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jpe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物理与电子信息学院2020级毕业实习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电子信息工程</c:v>
              </c:pt>
              <c:pt idx="1">
                <c:v>物联网工程</c:v>
              </c:pt>
            </c:strLit>
          </c:cat>
          <c:val>
            <c:numLit>
              <c:ptCount val="2"/>
              <c:pt idx="0" formatCode="General">
                <c:v>98</c:v>
              </c:pt>
              <c:pt idx="1" formatCode="General">
                <c:v>326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电子信息工程</c:v>
              </c:pt>
              <c:pt idx="1">
                <c:v>物联网工程</c:v>
              </c:pt>
            </c:strLit>
          </c:cat>
          <c:val>
            <c:numLit>
              <c:ptCount val="2"/>
              <c:pt idx="0" formatCode="General">
                <c:v>98</c:v>
              </c:pt>
              <c:pt idx="1" formatCode="General">
                <c:v>310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电子信息工程</c:v>
              </c:pt>
              <c:pt idx="1">
                <c:v>物联网工程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物理与电子信息学院2020级其他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物联网工程</c:v>
              </c:pt>
            </c:strLit>
          </c:cat>
          <c:val>
            <c:numLit>
              <c:ptCount val="1"/>
              <c:pt idx="0" formatCode="General">
                <c:v>72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物联网工程</c:v>
              </c:pt>
            </c:strLit>
          </c:cat>
          <c:val>
            <c:numLit>
              <c:ptCount val="1"/>
              <c:pt idx="0" formatCode="General">
                <c:v>72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物联网工程</c:v>
              </c:pt>
            </c:strLit>
          </c:cat>
          <c:val>
            <c:numLit>
              <c:ptCount val="1"/>
              <c:pt idx="0" formatCode="General">
                <c:v>72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物理与电子信息学院2021级其他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计划人次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物理学</c:v>
              </c:pt>
            </c:strLit>
          </c:cat>
          <c:val>
            <c:numLit>
              <c:ptCount val="1"/>
              <c:pt idx="0" formatCode="General">
                <c:v>76</c:v>
              </c:pt>
            </c:numLit>
          </c:val>
        </c:ser>
        <c:ser>
          <c:idx val="1"/>
          <c:order val="1"/>
          <c:tx>
            <c:v>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物理学</c:v>
              </c:pt>
            </c:strLit>
          </c:cat>
          <c:val>
            <c:numLit>
              <c:ptCount val="1"/>
              <c:pt idx="0" formatCode="General">
                <c:v>76</c:v>
              </c:pt>
            </c:numLit>
          </c:val>
        </c:ser>
        <c:ser>
          <c:idx val="2"/>
          <c:order val="2"/>
          <c:tx>
            <c:v>集中实习人次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物理学</c:v>
              </c:pt>
            </c:strLit>
          </c:cat>
          <c:val>
            <c:numLit>
              <c:ptCount val="1"/>
              <c:pt idx="0" formatCode="General">
                <c:v>76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电子信息工程</c:v>
              </c:pt>
              <c:pt idx="1">
                <c:v>物联网工程</c:v>
              </c:pt>
            </c:strLit>
          </c:cat>
          <c:val>
            <c:numLit>
              <c:ptCount val="2"/>
              <c:pt idx="0" formatCode="General">
                <c:v>98</c:v>
              </c:pt>
              <c:pt idx="1" formatCode="General">
                <c:v>382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电子信息工程</c:v>
              </c:pt>
              <c:pt idx="1">
                <c:v>物联网工程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294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实习参与人次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物理学</c:v>
              </c:pt>
            </c:strLit>
          </c:cat>
          <c:val>
            <c:numLit>
              <c:ptCount val="1"/>
              <c:pt idx="0" formatCode="General">
                <c:v>76</c:v>
              </c:pt>
            </c:numLit>
          </c:val>
        </c:ser>
        <c:ser>
          <c:idx val="1"/>
          <c:order val="1"/>
          <c:tx>
            <c:v>提交报告人次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物理学</c:v>
              </c:pt>
            </c:strLit>
          </c:cat>
          <c:val>
            <c:numLit>
              <c:ptCount val="1"/>
              <c:pt idx="0" formatCode="General">
                <c:v>73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电子信息工程(周志)</c:v>
              </c:pt>
              <c:pt idx="1">
                <c:v>物联网工程(周志)</c:v>
              </c:pt>
            </c:strLit>
          </c:cat>
          <c:val>
            <c:numLit>
              <c:ptCount val="2"/>
              <c:pt idx="0" formatCode="General">
                <c:v>208</c:v>
              </c:pt>
              <c:pt idx="1" formatCode="General">
                <c:v>0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电子信息工程(周志)</c:v>
              </c:pt>
              <c:pt idx="1">
                <c:v>物联网工程(周志)</c:v>
              </c:pt>
            </c:strLit>
          </c:cat>
          <c:val>
            <c:numLit>
              <c:ptCount val="2"/>
              <c:pt idx="0" formatCode="General">
                <c:v>318</c:v>
              </c:pt>
              <c:pt idx="1" formatCode="General">
                <c:v>684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物理学(日志)</c:v>
              </c:pt>
            </c:strLit>
          </c:cat>
          <c:val>
            <c:numLit>
              <c:ptCount val="1"/>
              <c:pt idx="0" formatCode="General">
                <c:v>436</c:v>
              </c:pt>
            </c:numLit>
          </c:val>
        </c:ser>
        <c:ser>
          <c:idx val="1"/>
          <c:order val="1"/>
          <c:tx>
            <c:v>日志/周志/月志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物理学(日志)</c:v>
              </c:pt>
            </c:strLit>
          </c:cat>
          <c:val>
            <c:numLit>
              <c:ptCount val="1"/>
              <c:pt idx="0" formatCode="General">
                <c:v>610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物理与电子信息学院2020级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电子信息工程</c:v>
              </c:pt>
              <c:pt idx="1">
                <c:v>物联网工程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0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2"/>
              <c:pt idx="0">
                <c:v>电子信息工程</c:v>
              </c:pt>
              <c:pt idx="1">
                <c:v>物联网工程</c:v>
              </c:pt>
            </c:strLit>
          </c:cat>
          <c:val>
            <c:numLit>
              <c:ptCount val="2"/>
              <c:pt idx="0" formatCode="General">
                <c:v>0</c:v>
              </c:pt>
              <c:pt idx="1" formatCode="General">
                <c:v>294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物理与电子信息学院2021级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已批阅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物理学</c:v>
              </c:pt>
            </c:strLit>
          </c:cat>
          <c:val>
            <c:numLit>
              <c:ptCount val="1"/>
              <c:pt idx="0" formatCode="General">
                <c:v>8</c:v>
              </c:pt>
            </c:numLit>
          </c:val>
        </c:ser>
        <c:ser>
          <c:idx val="1"/>
          <c:order val="1"/>
          <c:tx>
            <c:v>实习报告</c:v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DataLabelsRange val="0"/>
              <c:separator>----</c:separator>
              <c:showLeaderLines val="0"/>
            </c:dLbl>
          </c:dLbls>
          <c:cat>
            <c:strLit>
              <c:ptCount val="1"/>
              <c:pt idx="0">
                <c:v>物理学</c:v>
              </c:pt>
            </c:strLit>
          </c:cat>
          <c:val>
            <c:numLit>
              <c:ptCount val="1"/>
              <c:pt idx="0" formatCode="General">
                <c:v>73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05304064"/>
        <c:axId val="305306024"/>
      </c:barChart>
      <c:catAx>
        <c:axId val="30530406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6024"/>
        <c:crosses val="autoZero"/>
        <c:auto val="1"/>
        <c:lblAlgn val="ctr"/>
        <c:lblOffset val="100"/>
        <c:noMultiLvlLbl val="0"/>
      </c:catAx>
      <c:valAx>
        <c:axId val="305306024"/>
        <c:scaling>
          <c:orientation val="minMax"/>
        </c:scaling>
        <c:delete val="0"/>
        <c:axPos val="b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0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1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xybsyw</cp:lastModifiedBy>
  <cp:revision>5</cp:revision>
  <dcterms:created xsi:type="dcterms:W3CDTF">2014-10-29T12:08:00Z</dcterms:created>
  <dcterms:modified xsi:type="dcterms:W3CDTF">2022-01-24T06:31:00Z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