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57.xml" ContentType="application/vnd.openxmlformats-officedocument.drawingml.chart+xml"/>
  <Override PartName="/word/charts/chart58.xml" ContentType="application/vnd.openxmlformats-officedocument.drawingml.chart+xml"/>
  <Override PartName="/word/charts/chart59.xml" ContentType="application/vnd.openxmlformats-officedocument.drawingml.chart+xml"/>
  <Override PartName="/word/charts/chart6.xml" ContentType="application/vnd.openxmlformats-officedocument.drawingml.chart+xml"/>
  <Override PartName="/word/charts/chart60.xml" ContentType="application/vnd.openxmlformats-officedocument.drawingml.chart+xml"/>
  <Override PartName="/word/charts/chart61.xml" ContentType="application/vnd.openxmlformats-officedocument.drawingml.chart+xml"/>
  <Override PartName="/word/charts/chart62.xml" ContentType="application/vnd.openxmlformats-officedocument.drawingml.chart+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charts/chart6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8.10 -->
  <w:body>
    <w:p w:rsidR="00A95256">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pt;height:96pt">
            <v:imagedata r:id="rId5" o:title=""/>
            <o:lock v:ext="edit" aspectratio="t"/>
          </v:shape>
        </w:pict>
      </w:r>
    </w:p>
    <w:p w:rsidR="00A95256">
      <w:pPr>
        <w:jc w:val="center"/>
      </w:pPr>
    </w:p>
    <w:p w:rsidR="00A95256">
      <w:pPr>
        <w:spacing w:line="360" w:lineRule="auto"/>
        <w:ind w:left="141" w:leftChars="67"/>
        <w:jc w:val="center"/>
        <w:rPr>
          <w:rFonts w:ascii="微软雅黑" w:eastAsia="微软雅黑" w:hAnsi="微软雅黑"/>
        </w:rPr>
      </w:pPr>
      <w:r>
        <w:rPr>
          <w:rFonts w:ascii="微软雅黑" w:eastAsia="微软雅黑" w:hAnsi="微软雅黑"/>
        </w:rPr>
        <w:pict>
          <v:shapetype id="_x0000_t202" coordsize="21600,21600" o:spt="202" path="m,l,21600r21600,l21600,xe">
            <v:stroke joinstyle="miter"/>
            <v:path gradientshapeok="t" o:connecttype="rect"/>
          </v:shapetype>
          <v:shape id="文本框 7" o:spid="_x0000_s1026" type="#_x0000_t202" style="width:120.1pt;height:39pt;margin-top:160.4pt;margin-left:311.3pt;mso-height-relative:page;mso-width-relative:page;position:absolute;z-index:251658240" filled="f" stroked="f">
            <v:textbox>
              <w:txbxContent>
                <w:p w:rsidR="00A95256">
                  <w:pPr>
                    <w:jc w:val="left"/>
                    <w:rPr>
                      <w:rFonts w:ascii="微软雅黑" w:eastAsia="微软雅黑" w:hAnsi="微软雅黑"/>
                      <w:b/>
                      <w:bCs/>
                      <w:color w:val="404040" w:themeColor="text1" w:themeTint="BF"/>
                      <w:sz w:val="36"/>
                      <w:szCs w:val="36"/>
                    </w:rPr>
                  </w:pPr>
                  <w:r>
                    <w:rPr>
                      <w:rFonts w:ascii="微软雅黑" w:eastAsia="微软雅黑" w:hAnsi="微软雅黑"/>
                      <w:b/>
                      <w:bCs/>
                      <w:noProof/>
                      <w:color w:val="404040" w:themeColor="text1" w:themeTint="BF"/>
                      <w:sz w:val="36"/>
                      <w:szCs w:val="36"/>
                    </w:rPr>
                    <w:t>3</w:t>
                  </w:r>
                  <w:r>
                    <w:rPr>
                      <w:rFonts w:ascii="微软雅黑" w:eastAsia="微软雅黑" w:hAnsi="微软雅黑" w:hint="eastAsia"/>
                      <w:b/>
                      <w:bCs/>
                      <w:color w:val="404040" w:themeColor="text1" w:themeTint="BF"/>
                      <w:sz w:val="36"/>
                      <w:szCs w:val="36"/>
                    </w:rPr>
                    <w:t>月</w:t>
                  </w:r>
                </w:p>
              </w:txbxContent>
            </v:textbox>
          </v:shape>
        </w:pict>
      </w:r>
      <w:r>
        <w:rPr>
          <w:rFonts w:ascii="微软雅黑" w:eastAsia="微软雅黑" w:hAnsi="微软雅黑"/>
          <w:noProof/>
        </w:rPr>
        <w:drawing>
          <wp:inline distT="0" distB="0" distL="0" distR="0">
            <wp:extent cx="3095625" cy="2527935"/>
            <wp:effectExtent l="0" t="0" r="0" b="0"/>
            <wp:docPr id="9" name="图片 2" descr="D:\用户目录\我的文档\Tencent Files\329613245\FileRecv\封面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089322" name="图片 2" descr="D:\用户目录\我的文档\Tencent Files\329613245\FileRecv\封面_03.png"/>
                    <pic:cNvPicPr>
                      <a:picLocks noChangeAspect="1" noChangeArrowheads="1"/>
                    </pic:cNvPicPr>
                  </pic:nvPicPr>
                  <pic:blipFill>
                    <a:blip xmlns:r="http://schemas.openxmlformats.org/officeDocument/2006/relationships" r:embed="rId6" cstate="print"/>
                    <a:stretch>
                      <a:fillRect/>
                    </a:stretch>
                  </pic:blipFill>
                  <pic:spPr>
                    <a:xfrm>
                      <a:off x="0" y="0"/>
                      <a:ext cx="3102447" cy="2533665"/>
                    </a:xfrm>
                    <a:prstGeom prst="rect">
                      <a:avLst/>
                    </a:prstGeom>
                    <a:noFill/>
                    <a:ln w="9525">
                      <a:noFill/>
                      <a:miter lim="800000"/>
                      <a:headEnd/>
                      <a:tailEnd/>
                    </a:ln>
                  </pic:spPr>
                </pic:pic>
              </a:graphicData>
            </a:graphic>
          </wp:inline>
        </w:drawing>
      </w:r>
    </w:p>
    <w:p w:rsidR="00A95256" w:rsidRPr="00366773" w:rsidP="00366773">
      <w:pPr>
        <w:tabs>
          <w:tab w:val="left" w:pos="4320"/>
        </w:tabs>
        <w:jc w:val="center"/>
        <w:rPr>
          <w:rFonts w:ascii="微软雅黑" w:eastAsia="微软雅黑" w:hAnsi="微软雅黑"/>
          <w:sz w:val="44"/>
          <w:szCs w:val="44"/>
        </w:rPr>
      </w:pPr>
      <w:r>
        <w:rPr>
          <w:rFonts w:ascii="微软雅黑" w:eastAsia="微软雅黑" w:hAnsi="微软雅黑"/>
          <w:noProof/>
          <w:sz w:val="44"/>
          <w:szCs w:val="44"/>
        </w:rPr>
        <w:t>德州学院</w:t>
      </w: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pPr>
    </w:p>
    <w:p w:rsidR="00A95256">
      <w:pPr>
        <w:tabs>
          <w:tab w:val="left" w:pos="4320"/>
        </w:tabs>
        <w:jc w:val="center"/>
        <w:rPr>
          <w:rFonts w:ascii="微软雅黑" w:eastAsia="微软雅黑" w:hAnsi="微软雅黑"/>
        </w:rPr>
        <w:sectPr>
          <w:headerReference w:type="even" r:id="rId7"/>
          <w:headerReference w:type="default" r:id="rId8"/>
          <w:footerReference w:type="even" r:id="rId9"/>
          <w:footerReference w:type="default" r:id="rId10"/>
          <w:headerReference w:type="first" r:id="rId11"/>
          <w:footerReference w:type="first" r:id="rId12"/>
          <w:pgSz w:w="11906" w:h="16838"/>
          <w:pgMar w:top="1440" w:right="748" w:bottom="1440" w:left="805" w:header="284" w:footer="992" w:gutter="0"/>
          <w:cols w:space="720"/>
          <w:titlePg/>
          <w:docGrid w:linePitch="312"/>
        </w:sectPr>
      </w:pPr>
      <w:r>
        <w:rPr>
          <w:rFonts w:ascii="微软雅黑" w:eastAsia="微软雅黑" w:hAnsi="微软雅黑"/>
          <w:noProof/>
        </w:rPr>
        <w:drawing>
          <wp:inline distT="0" distB="0" distL="0" distR="0">
            <wp:extent cx="2538730" cy="1654175"/>
            <wp:effectExtent l="0" t="0" r="0" b="31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236821" name="图片 1"/>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2538730" cy="1654175"/>
                    </a:xfrm>
                    <a:prstGeom prst="rect">
                      <a:avLst/>
                    </a:prstGeom>
                    <a:noFill/>
                    <a:ln w="9525">
                      <a:noFill/>
                      <a:miter lim="800000"/>
                      <a:headEnd/>
                      <a:tailEnd/>
                    </a:ln>
                  </pic:spPr>
                </pic:pic>
              </a:graphicData>
            </a:graphic>
          </wp:inline>
        </w:drawing>
      </w:r>
    </w:p>
    <w:p w:rsidR="00A95256">
      <w:pPr>
        <w:spacing w:line="360" w:lineRule="auto"/>
        <w:ind w:left="141" w:leftChars="67"/>
        <w:jc w:val="center"/>
        <w:rPr>
          <w:rFonts w:ascii="微软雅黑" w:eastAsia="微软雅黑" w:hAnsi="微软雅黑"/>
          <w:sz w:val="48"/>
          <w:szCs w:val="48"/>
        </w:rPr>
      </w:pPr>
      <w:r>
        <w:rPr>
          <w:rStyle w:val="2Char"/>
          <w:rFonts w:ascii="微软雅黑" w:eastAsia="微软雅黑" w:hAnsi="微软雅黑" w:cs="微软雅黑" w:hint="eastAsia"/>
          <w:sz w:val="48"/>
          <w:szCs w:val="48"/>
        </w:rPr>
        <w:t>实践教学月报</w:t>
      </w:r>
    </w:p>
    <w:p w:rsidR="00A95256">
      <w:pPr>
        <w:tabs>
          <w:tab w:val="left" w:pos="4320"/>
        </w:tabs>
        <w:spacing w:line="360" w:lineRule="auto"/>
        <w:jc w:val="center"/>
        <w:rPr>
          <w:rFonts w:ascii="微软雅黑" w:eastAsia="微软雅黑" w:hAnsi="微软雅黑"/>
          <w:sz w:val="24"/>
          <w:u w:val="single"/>
        </w:rPr>
      </w:pPr>
      <w:r>
        <w:rPr>
          <w:rFonts w:ascii="微软雅黑" w:eastAsia="微软雅黑" w:hAnsi="微软雅黑"/>
          <w:noProof/>
          <w:sz w:val="24"/>
          <w:u w:val="single"/>
        </w:rPr>
        <w:t>2024年3月</w:t>
      </w:r>
    </w:p>
    <w:p w:rsidR="00A95256">
      <w:pPr>
        <w:adjustRightInd w:val="0"/>
        <w:snapToGrid w:val="0"/>
        <w:spacing w:line="360" w:lineRule="auto"/>
        <w:jc w:val="left"/>
        <w:outlineLvl w:val="0"/>
        <w:rPr>
          <w:rFonts w:ascii="微软雅黑" w:eastAsia="微软雅黑" w:hAnsi="微软雅黑"/>
          <w:b/>
          <w:bCs/>
          <w:color w:val="C00000"/>
          <w:sz w:val="28"/>
          <w:szCs w:val="28"/>
        </w:rPr>
      </w:pPr>
      <w:r>
        <w:rPr>
          <w:rFonts w:ascii="Segoe UI Symbol" w:eastAsia="Segoe UI Symbol" w:hAnsi="Segoe UI Symbol" w:cs="Segoe UI Symbol"/>
          <w:color w:val="C00000"/>
          <w:kern w:val="0"/>
          <w:sz w:val="28"/>
          <w:szCs w:val="28"/>
        </w:rPr>
        <w:t>❖</w:t>
      </w:r>
      <w:r>
        <w:rPr>
          <w:rFonts w:ascii="Segoe UI Symbol" w:hAnsi="Segoe UI Symbol" w:eastAsiaTheme="minorEastAsia" w:cs="Segoe UI Symbol" w:hint="eastAsia"/>
          <w:color w:val="C00000"/>
          <w:kern w:val="0"/>
          <w:sz w:val="28"/>
          <w:szCs w:val="28"/>
        </w:rPr>
        <w:t xml:space="preserve"> </w:t>
      </w:r>
      <w:r>
        <w:rPr>
          <w:rFonts w:ascii="微软雅黑" w:eastAsia="微软雅黑" w:hAnsi="微软雅黑" w:hint="eastAsia"/>
          <w:b/>
          <w:bCs/>
          <w:color w:val="C00000"/>
          <w:sz w:val="28"/>
          <w:szCs w:val="28"/>
        </w:rPr>
        <w:t>实习概况</w:t>
      </w:r>
    </w:p>
    <w:p w:rsidR="00A95256">
      <w:pPr>
        <w:adjustRightInd w:val="0"/>
        <w:snapToGrid w:val="0"/>
        <w:spacing w:line="360" w:lineRule="auto"/>
        <w:jc w:val="left"/>
        <w:rPr>
          <w:rFonts w:ascii="微软雅黑" w:eastAsia="微软雅黑" w:hAnsi="微软雅黑"/>
          <w:szCs w:val="21"/>
        </w:rPr>
      </w:pPr>
      <w:r>
        <w:rPr>
          <w:rFonts w:ascii="微软雅黑" w:eastAsia="微软雅黑" w:hAnsi="微软雅黑" w:hint="eastAsia"/>
          <w:szCs w:val="21"/>
        </w:rPr>
        <w:t>您好：</w:t>
      </w:r>
    </w:p>
    <w:p w:rsidR="00A95256">
      <w:pPr>
        <w:adjustRightInd w:val="0"/>
        <w:snapToGrid w:val="0"/>
        <w:spacing w:line="360" w:lineRule="auto"/>
        <w:ind w:firstLine="420" w:firstLineChars="200"/>
        <w:jc w:val="left"/>
        <w:rPr>
          <w:rFonts w:ascii="微软雅黑" w:eastAsia="微软雅黑" w:hAnsi="微软雅黑"/>
          <w:szCs w:val="21"/>
        </w:rPr>
      </w:pPr>
      <w:r>
        <w:rPr>
          <w:rFonts w:ascii="微软雅黑" w:eastAsia="微软雅黑" w:hAnsi="微软雅黑" w:hint="eastAsia"/>
          <w:szCs w:val="21"/>
        </w:rPr>
        <w:t>感谢对校友邦的认可和支持！</w:t>
      </w:r>
    </w:p>
    <w:p w:rsidR="00A95256" w:rsidRPr="0055365C" w:rsidP="0055365C">
      <w:pPr>
        <w:adjustRightInd w:val="0"/>
        <w:snapToGrid w:val="0"/>
        <w:spacing w:line="360" w:lineRule="auto"/>
        <w:ind w:firstLine="420" w:firstLineChars="200"/>
        <w:jc w:val="left"/>
        <w:rPr>
          <w:rFonts w:ascii="微软雅黑" w:eastAsia="微软雅黑" w:hAnsi="微软雅黑"/>
          <w:szCs w:val="21"/>
        </w:rPr>
      </w:pPr>
      <w:r>
        <w:rPr>
          <w:rFonts w:ascii="微软雅黑" w:eastAsia="微软雅黑" w:hAnsi="微软雅黑" w:hint="eastAsia"/>
          <w:szCs w:val="21"/>
        </w:rPr>
        <w:t>以下是贵校数据概述：</w:t>
      </w:r>
      <w:bookmarkStart w:id="0" w:name="_GoBack"/>
      <w:bookmarkEnd w:id="0"/>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25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126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126</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111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1017</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48</w:t>
      </w:r>
      <w:r>
        <w:rPr>
          <w:rFonts w:ascii="微软雅黑" w:eastAsia="微软雅黑" w:hAnsi="微软雅黑" w:cs="微软雅黑"/>
          <w:color w:val="000000"/>
          <w:kern w:val="0"/>
          <w:szCs w:val="21"/>
        </w:rPr>
        <w:t>学时实习。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27</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107</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经济管理学院2020级4</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327</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283</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283</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283</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284</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42</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128</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215</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经济管理学院2021级3</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252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51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51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51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51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98</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74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8</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47</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经济管理学院2022级4</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364</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275</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310</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275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35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35</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8</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221</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经济管理学院2023级1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80</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47</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8.0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生命科学学院2023级1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118</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105</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105</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105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27</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333</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254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408</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408</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408</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98</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208</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436</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数学与大数据学院2020级1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179</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66</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56</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29</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131</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131</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219</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437</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12</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75</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体育学院2021级1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196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196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196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7</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，批阅了</w:t>
      </w:r>
      <w:r>
        <w:rPr>
          <w:rFonts w:ascii="微软雅黑" w:eastAsia="微软雅黑" w:hAnsi="微软雅黑" w:cs="微软雅黑"/>
          <w:color w:val="C00000"/>
          <w:kern w:val="0"/>
          <w:szCs w:val="21"/>
        </w:rPr>
        <w:t>59</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95</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46</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马克思主义学院2023级1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，自主实习</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，共提交</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，审核了</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个岗位</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美术学院2023级2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180</w:t>
      </w:r>
      <w:r>
        <w:rPr>
          <w:rFonts w:ascii="微软雅黑" w:eastAsia="微软雅黑" w:hAnsi="微软雅黑" w:cs="微软雅黑"/>
          <w:color w:val="000000"/>
          <w:kern w:val="0"/>
          <w:szCs w:val="21"/>
        </w:rPr>
        <w:t>名学生，</w:t>
      </w:r>
      <w:r>
        <w:rPr>
          <w:rFonts w:ascii="微软雅黑" w:eastAsia="微软雅黑" w:hAnsi="微软雅黑" w:cs="微软雅黑"/>
          <w:color w:val="000000"/>
          <w:kern w:val="0"/>
          <w:szCs w:val="21"/>
        </w:rPr>
        <w:t>其中已有</w:t>
      </w:r>
      <w:r>
        <w:rPr>
          <w:rFonts w:ascii="微软雅黑" w:eastAsia="微软雅黑" w:hAnsi="微软雅黑" w:cs="微软雅黑"/>
          <w:color w:val="C00000"/>
          <w:kern w:val="0"/>
          <w:szCs w:val="21"/>
        </w:rPr>
        <w:t>176</w:t>
      </w:r>
      <w:r>
        <w:rPr>
          <w:rFonts w:ascii="微软雅黑" w:eastAsia="微软雅黑" w:hAnsi="微软雅黑" w:cs="微软雅黑"/>
          <w:color w:val="000000"/>
          <w:kern w:val="0"/>
          <w:szCs w:val="21"/>
        </w:rPr>
        <w:t>名学生参与了</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，共计</w:t>
      </w:r>
      <w:r>
        <w:rPr>
          <w:rFonts w:ascii="微软雅黑" w:eastAsia="微软雅黑" w:hAnsi="微软雅黑" w:cs="微软雅黑"/>
          <w:color w:val="C00000"/>
          <w:kern w:val="0"/>
          <w:szCs w:val="21"/>
        </w:rPr>
        <w:t>176</w:t>
      </w:r>
      <w:r>
        <w:rPr>
          <w:rFonts w:ascii="微软雅黑" w:eastAsia="微软雅黑" w:hAnsi="微软雅黑" w:cs="微软雅黑"/>
          <w:color w:val="000000"/>
          <w:kern w:val="0"/>
          <w:szCs w:val="21"/>
        </w:rPr>
        <w:t>人次</w:t>
      </w:r>
      <w:r>
        <w:rPr>
          <w:rFonts w:ascii="微软雅黑" w:eastAsia="微软雅黑" w:hAnsi="微软雅黑" w:cs="微软雅黑"/>
          <w:color w:val="000000"/>
          <w:kern w:val="0"/>
          <w:szCs w:val="21"/>
        </w:rPr>
        <w:t>，集中实习</w:t>
      </w:r>
      <w:r>
        <w:rPr>
          <w:rFonts w:ascii="微软雅黑" w:eastAsia="微软雅黑" w:hAnsi="微软雅黑" w:cs="微软雅黑"/>
          <w:color w:val="C00000"/>
          <w:kern w:val="0"/>
          <w:szCs w:val="21"/>
        </w:rPr>
        <w:t>176</w:t>
      </w:r>
      <w:r>
        <w:rPr>
          <w:rFonts w:ascii="微软雅黑" w:eastAsia="微软雅黑" w:hAnsi="微软雅黑" w:cs="微软雅黑"/>
          <w:color w:val="000000"/>
          <w:kern w:val="0"/>
          <w:szCs w:val="21"/>
        </w:rPr>
        <w:t>人</w:t>
      </w:r>
      <w:r>
        <w:rPr>
          <w:rFonts w:ascii="微软雅黑" w:eastAsia="微软雅黑" w:hAnsi="微软雅黑" w:cs="微软雅黑"/>
          <w:color w:val="000000"/>
          <w:kern w:val="0"/>
          <w:szCs w:val="21"/>
        </w:rPr>
        <w:t>。</w:t>
      </w:r>
      <w:r>
        <w:rPr>
          <w:rFonts w:ascii="微软雅黑" w:eastAsia="微软雅黑" w:hAnsi="微软雅黑" w:cs="微软雅黑"/>
          <w:color w:val="000000"/>
          <w:kern w:val="0"/>
          <w:szCs w:val="21"/>
        </w:rPr>
        <w:t>根据各实习计划安排，</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个专业学生只需要在计划安排的时间范围内完成</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周实习。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个专业共有</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名老师参与了实习指导</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音乐学院2</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法学院2</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文学与新闻传播学院5</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生态与资源环境学院10</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教师教育学院4</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纺织服装学院4</w:t>
      </w:r>
      <w:r>
        <w:rPr>
          <w:rFonts w:ascii="微软雅黑" w:eastAsia="微软雅黑" w:hAnsi="微软雅黑" w:cs="微软雅黑"/>
          <w:color w:val="000000"/>
          <w:kern w:val="0"/>
          <w:szCs w:val="21"/>
        </w:rPr>
        <w:t>个计划未完成设置。</w:t>
      </w:r>
      <w:r>
        <w:rPr>
          <w:rFonts w:ascii="微软雅黑" w:eastAsia="微软雅黑" w:hAnsi="微软雅黑" w:cs="微软雅黑"/>
          <w:color w:val="C00000"/>
          <w:kern w:val="0"/>
          <w:szCs w:val="21"/>
        </w:rPr>
        <w:t>计算机与信息学院13</w:t>
      </w:r>
      <w:r>
        <w:rPr>
          <w:rFonts w:ascii="微软雅黑" w:eastAsia="微软雅黑" w:hAnsi="微软雅黑" w:cs="微软雅黑"/>
          <w:color w:val="000000"/>
          <w:kern w:val="0"/>
          <w:szCs w:val="21"/>
        </w:rPr>
        <w:t>个计划未完成设置。</w:t>
      </w: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具体情况</w:t>
      </w: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1、实践课程考核要求</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毕业实习1</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毕业实习1</w:t>
            </w:r>
          </w:p>
        </w:tc>
        <w:tc>
          <w:tcPr>
            <w:tcW w:w="5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临床见习2</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48(学时)</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护理学(专升本)</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毕业实习(含毕业论文)</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实习报告+实习成绩鉴定表</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国贸岗位分工实训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专业创新设计</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专业创新设计</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实习报告+实习成绩鉴定表</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商战沙盘综合实训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22市营VBSE创新创业实训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2.0(周数)</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日志+周志+月志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实习报告+实习成绩鉴定表</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VBSE综合模拟实训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商战沙盘综合实训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市场营销(数字营销方向)</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VBSE创新创业实训</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市场营销(数字营销方向)</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新媒体营销实训</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工商管理(商业管理方向)</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专业认知实习I</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能源与机械学院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能源与动力工程</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毕业论文(设计)</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8.0(周数)</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动植物学野外实习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签到+日志+周志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2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动植物学野外实习</w:t>
            </w:r>
          </w:p>
        </w:tc>
        <w:tc>
          <w:tcPr>
            <w:tcW w:w="5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签到+日志+周志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环境工程</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环境影响评价应用实践</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环境工程</w:t>
            </w:r>
          </w:p>
        </w:tc>
        <w:tc>
          <w:tcPr>
            <w:tcW w:w="8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环境污染控制实验实训</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物理学</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从业技能训练</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签到+日志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电子信息工程</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毕业实习1</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物联网系统设计</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8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毕业实习2</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数学与大数据学院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数据科学与大数据技术</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商务英语</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毕业实习</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教育实习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签到+月志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8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教育研习</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社会调查</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体育学院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体育教育</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从业技能训练</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马克思主义学院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思想政治教育</w:t>
            </w:r>
          </w:p>
        </w:tc>
        <w:tc>
          <w:tcPr>
            <w:tcW w:w="8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劳动教育(公益劳动、专业劳动)</w:t>
            </w:r>
          </w:p>
        </w:tc>
        <w:tc>
          <w:tcPr>
            <w:tcW w:w="5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7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1.0(周数)</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马克思主义学院</w:t>
            </w:r>
          </w:p>
        </w:tc>
        <w:tc>
          <w:tcPr>
            <w:tcW w:w="14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思想政治教育</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社会实践</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700" w:type="dxa"/>
            <w:vMerge/>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自主安排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实习报告</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800"/>
        <w:gridCol w:w="1400"/>
        <w:gridCol w:w="800"/>
        <w:gridCol w:w="1200"/>
        <w:gridCol w:w="500"/>
        <w:gridCol w:w="700"/>
        <w:gridCol w:w="1200"/>
        <w:gridCol w:w="1900"/>
        <w:gridCol w:w="15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8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8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实习课程</w:t>
            </w:r>
          </w:p>
        </w:tc>
        <w:tc>
          <w:tcPr>
            <w:tcW w:w="5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学分</w:t>
            </w:r>
          </w:p>
        </w:tc>
        <w:tc>
          <w:tcPr>
            <w:tcW w:w="7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w:t>
            </w:r>
          </w:p>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形式</w:t>
            </w:r>
          </w:p>
        </w:tc>
        <w:tc>
          <w:tcPr>
            <w:tcW w:w="12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实习时间</w:t>
            </w:r>
          </w:p>
        </w:tc>
        <w:tc>
          <w:tcPr>
            <w:tcW w:w="19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实习过程资料要求</w:t>
            </w:r>
          </w:p>
        </w:tc>
        <w:tc>
          <w:tcPr>
            <w:tcW w:w="15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实习总结资料</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环境设计</w:t>
            </w:r>
          </w:p>
        </w:tc>
        <w:tc>
          <w:tcPr>
            <w:tcW w:w="8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设计艺术考察1</w:t>
            </w:r>
          </w:p>
        </w:tc>
        <w:tc>
          <w:tcPr>
            <w:tcW w:w="5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w:t>
            </w:r>
          </w:p>
        </w:tc>
        <w:tc>
          <w:tcPr>
            <w:tcW w:w="7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r>
        <w:tblPrEx>
          <w:tblW w:w="0" w:type="auto"/>
          <w:jc w:val="center"/>
          <w:tblInd w:w="400" w:type="dxa"/>
          <w:tblLayout w:type="fixed"/>
          <w:tblCellMar>
            <w:left w:w="108" w:type="dxa"/>
            <w:right w:w="108" w:type="dxa"/>
          </w:tblCellMar>
        </w:tblPrEx>
        <w:trPr>
          <w:trHeight w:hRule="auto" w:val="0"/>
          <w:jc w:val="center"/>
        </w:trPr>
        <w:tc>
          <w:tcPr>
            <w:tcW w:w="18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视觉传达设计</w:t>
            </w:r>
          </w:p>
        </w:tc>
        <w:tc>
          <w:tcPr>
            <w:tcW w:w="8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设计艺术考察1</w:t>
            </w:r>
          </w:p>
        </w:tc>
        <w:tc>
          <w:tcPr>
            <w:tcW w:w="5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w:t>
            </w:r>
          </w:p>
        </w:tc>
        <w:tc>
          <w:tcPr>
            <w:tcW w:w="7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集中安排</w:t>
            </w:r>
          </w:p>
        </w:tc>
        <w:tc>
          <w:tcPr>
            <w:tcW w:w="12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c>
          <w:tcPr>
            <w:tcW w:w="19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签到+周志</w:t>
            </w:r>
          </w:p>
        </w:tc>
        <w:tc>
          <w:tcPr>
            <w:tcW w:w="15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2、实习参与情况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151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25</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149</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医药与护理学院2022级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50.0%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326</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283</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86.8%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3454400"/>
            <wp:docPr id="10001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61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93</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51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54.8%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1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74</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1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60</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344</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310</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275</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90.1%</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921000"/>
            <wp:docPr id="10002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经济管理学院2023级</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80</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98.8%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47</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生命科学学院2023级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118</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105</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105</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89.0%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424</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408</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96.2%</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2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72</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2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数学与大数据学院2020级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179</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75.4%</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毕业实习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66</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83.3%</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3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262</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99.6%</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体育学院2021级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198</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196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196</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99.0%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w:t>
      </w:r>
      <w:r>
        <w:rPr>
          <w:rFonts w:ascii="微软雅黑" w:eastAsia="微软雅黑" w:hAnsi="微软雅黑" w:cs="微软雅黑"/>
          <w:color w:val="C00000"/>
          <w:kern w:val="0"/>
          <w:szCs w:val="21"/>
        </w:rPr>
        <w:t>专业实习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95</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98.9%</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马克思主义学院2023级</w:t>
      </w:r>
      <w:r>
        <w:rPr>
          <w:rFonts w:ascii="微软雅黑" w:eastAsia="微软雅黑" w:hAnsi="微软雅黑" w:cs="微软雅黑"/>
          <w:color w:val="C00000"/>
          <w:kern w:val="0"/>
          <w:szCs w:val="21"/>
        </w:rPr>
        <w:t>认识实习</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97.5%</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854200"/>
            <wp:docPr id="10003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美术学院2023级</w:t>
      </w:r>
      <w:r>
        <w:rPr>
          <w:rFonts w:ascii="微软雅黑" w:eastAsia="微软雅黑" w:hAnsi="微软雅黑" w:cs="微软雅黑"/>
          <w:color w:val="C00000"/>
          <w:kern w:val="0"/>
          <w:szCs w:val="21"/>
        </w:rPr>
        <w:t>其他</w:t>
      </w:r>
      <w:r>
        <w:rPr>
          <w:rFonts w:ascii="微软雅黑" w:eastAsia="微软雅黑" w:hAnsi="微软雅黑" w:cs="微软雅黑"/>
          <w:color w:val="000000"/>
          <w:kern w:val="0"/>
          <w:szCs w:val="21"/>
        </w:rPr>
        <w:t>，计划实习</w:t>
      </w:r>
      <w:r>
        <w:rPr>
          <w:rFonts w:ascii="微软雅黑" w:eastAsia="微软雅黑" w:hAnsi="微软雅黑" w:cs="微软雅黑"/>
          <w:color w:val="C00000"/>
          <w:kern w:val="0"/>
          <w:szCs w:val="21"/>
        </w:rPr>
        <w:t>180</w:t>
      </w:r>
      <w:r>
        <w:rPr>
          <w:rFonts w:ascii="微软雅黑" w:eastAsia="微软雅黑" w:hAnsi="微软雅黑" w:cs="微软雅黑"/>
          <w:color w:val="000000"/>
          <w:kern w:val="0"/>
          <w:szCs w:val="21"/>
        </w:rPr>
        <w:t>人次，已参与</w:t>
      </w:r>
      <w:r>
        <w:rPr>
          <w:rFonts w:ascii="微软雅黑" w:eastAsia="微软雅黑" w:hAnsi="微软雅黑" w:cs="微软雅黑"/>
          <w:color w:val="C00000"/>
          <w:kern w:val="0"/>
          <w:szCs w:val="21"/>
        </w:rPr>
        <w:t>176</w:t>
      </w:r>
      <w:r>
        <w:rPr>
          <w:rFonts w:ascii="微软雅黑" w:eastAsia="微软雅黑" w:hAnsi="微软雅黑" w:cs="微软雅黑"/>
          <w:color w:val="000000"/>
          <w:kern w:val="0"/>
          <w:szCs w:val="21"/>
        </w:rPr>
        <w:t>人次，其中集中实习为</w:t>
      </w:r>
      <w:r>
        <w:rPr>
          <w:rFonts w:ascii="微软雅黑" w:eastAsia="微软雅黑" w:hAnsi="微软雅黑" w:cs="微软雅黑"/>
          <w:color w:val="C00000"/>
          <w:kern w:val="0"/>
          <w:szCs w:val="21"/>
        </w:rPr>
        <w:t>176</w:t>
      </w:r>
      <w:r>
        <w:rPr>
          <w:rFonts w:ascii="微软雅黑" w:eastAsia="微软雅黑" w:hAnsi="微软雅黑" w:cs="微软雅黑"/>
          <w:color w:val="000000"/>
          <w:kern w:val="0"/>
          <w:szCs w:val="21"/>
        </w:rPr>
        <w:t>人次，参与率</w:t>
      </w:r>
      <w:r>
        <w:rPr>
          <w:rFonts w:ascii="微软雅黑" w:eastAsia="微软雅黑" w:hAnsi="微软雅黑" w:cs="微软雅黑"/>
          <w:color w:val="C00000"/>
          <w:kern w:val="0"/>
          <w:szCs w:val="21"/>
        </w:rPr>
        <w:t>97.8%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387600"/>
            <wp:docPr id="10003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3、日/周/月志提交情况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000000"/>
          <w:kern w:val="0"/>
          <w:szCs w:val="21"/>
        </w:rPr>
        <w:t>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日以下学院日/周/月志提交情况：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护理学1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护理学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护理学1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2.7</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护理学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2.7</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护理学(专升本)1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护理学(专升本)</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1193</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7.9</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149</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396</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2.7</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护理学(专升本)</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301</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1590</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5.3</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工商管理1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工商管理</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0.2</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市场营销，国际经济与贸易，会计学，工商管理4</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1.7</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会计学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2.3</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工商管理1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工商管理</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国际经济与贸易(中外合作专)，工商管理2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国际经济与贸易(中外合作专)</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1.5</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市场营销(数字营销方向)1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4.1</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市场营销(数字营销方向)</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4.1</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会计学，国际经济与贸易(中外合作专)2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1.6</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会计学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经济管理学院2023级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工商管理(商业管理方向)1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工商管理(商业管理方向)</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0.2</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国际经济与贸易(中外合作专)</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94</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89</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0.9</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129</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283</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国际经济与贸易</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133</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40</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74</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75</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市场营销(数字营销方向)</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144</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4.1</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工商管理(商业管理方向)</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79</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818</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1179</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生物科学1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0.9</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生物科学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0.9</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生物科学1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生物科学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生物科学1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生物科学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生命科学学院2023级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生物科学1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3.2</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生物科学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3.2</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生物科学1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0.6</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生物科学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0.6</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87</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0.9</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338</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68</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0.6</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314</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497</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环境工程1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0.6</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环境工程</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0.6</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2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环境工程</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144</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84</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0.6</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物联网工程，电子信息工程2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2.1</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电子信息工程</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3.2</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物理学1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8.0</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物理学</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8.0</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610</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电子信息工程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98</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318</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382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684</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556</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1612</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数学与大数据学院2020级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数据科学与大数据技术1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0.4</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数据科学与大数据技术</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0.4</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数学与大数据学院</w:t>
            </w:r>
          </w:p>
        </w:tc>
        <w:tc>
          <w:tcPr>
            <w:tcW w:w="2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数据科学与大数据技术</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135</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50</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0.4</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商务英语，俄语2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0.8</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商务英语</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英语(师范类)1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1.9</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英语(师范类)</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1.9</w:t>
      </w:r>
      <w:r>
        <w:rPr>
          <w:rFonts w:ascii="微软雅黑" w:eastAsia="微软雅黑" w:hAnsi="微软雅黑" w:cs="微软雅黑"/>
          <w:color w:val="000000"/>
          <w:kern w:val="0"/>
          <w:szCs w:val="21"/>
        </w:rPr>
        <w:t>篇。</w:t>
      </w:r>
      <w:r>
        <w:rPr>
          <w:rFonts w:ascii="微软雅黑" w:eastAsia="微软雅黑" w:hAnsi="微软雅黑" w:cs="微软雅黑"/>
          <w:color w:val="C00000"/>
          <w:kern w:val="0"/>
          <w:szCs w:val="21"/>
        </w:rPr>
        <w:t>英语(师范类)1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3.8</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英语(师范类)</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3.8</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商务英语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0.5</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247</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10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131</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495</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3.8</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316</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785</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体育学院2021级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体育教育1</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0.5</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体育教育</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0.5</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体育学院</w:t>
            </w:r>
          </w:p>
        </w:tc>
        <w:tc>
          <w:tcPr>
            <w:tcW w:w="2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体育教育</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196</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101</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美术学院2023级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视觉传达设计，环境设计2</w:t>
      </w:r>
      <w:r>
        <w:rPr>
          <w:rFonts w:ascii="微软雅黑" w:eastAsia="微软雅黑" w:hAnsi="微软雅黑" w:cs="微软雅黑"/>
          <w:color w:val="000000"/>
          <w:kern w:val="0"/>
          <w:szCs w:val="21"/>
        </w:rPr>
        <w:t>个专业要求学生提交</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，人均提交篇数为</w:t>
      </w:r>
      <w:r>
        <w:rPr>
          <w:rFonts w:ascii="微软雅黑" w:eastAsia="微软雅黑" w:hAnsi="微软雅黑" w:cs="微软雅黑"/>
          <w:color w:val="C00000"/>
          <w:kern w:val="0"/>
          <w:szCs w:val="21"/>
        </w:rPr>
        <w:t>0.9</w:t>
      </w:r>
      <w:r>
        <w:rPr>
          <w:rFonts w:ascii="微软雅黑" w:eastAsia="微软雅黑" w:hAnsi="微软雅黑" w:cs="微软雅黑"/>
          <w:color w:val="000000"/>
          <w:kern w:val="0"/>
          <w:szCs w:val="21"/>
        </w:rPr>
        <w:t>篇，其中</w:t>
      </w:r>
      <w:r>
        <w:rPr>
          <w:rFonts w:ascii="微软雅黑" w:eastAsia="微软雅黑" w:hAnsi="微软雅黑" w:cs="微软雅黑"/>
          <w:color w:val="C00000"/>
          <w:kern w:val="0"/>
          <w:szCs w:val="21"/>
        </w:rPr>
        <w:t>环境设计</w:t>
      </w:r>
      <w:r>
        <w:rPr>
          <w:rFonts w:ascii="微软雅黑" w:eastAsia="微软雅黑" w:hAnsi="微软雅黑" w:cs="微软雅黑"/>
          <w:color w:val="000000"/>
          <w:kern w:val="0"/>
          <w:szCs w:val="21"/>
        </w:rPr>
        <w:t>人均提交篇数已达</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篇。</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2400"/>
        <w:gridCol w:w="2000"/>
        <w:gridCol w:w="1000"/>
        <w:gridCol w:w="1600"/>
        <w:gridCol w:w="1000"/>
        <w:gridCol w:w="1000"/>
        <w:gridCol w:w="10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24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6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0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0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环境设计</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87</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85</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2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视觉传达设计</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89</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72</w:t>
            </w:r>
          </w:p>
        </w:tc>
        <w:tc>
          <w:tcPr>
            <w:tcW w:w="10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0.8</w:t>
            </w:r>
          </w:p>
        </w:tc>
      </w:tr>
      <w:tr>
        <w:tblPrEx>
          <w:tblW w:w="0" w:type="auto"/>
          <w:jc w:val="center"/>
          <w:tblInd w:w="400" w:type="dxa"/>
          <w:tblLayout w:type="fixed"/>
          <w:tblCellMar>
            <w:left w:w="108" w:type="dxa"/>
            <w:right w:w="108" w:type="dxa"/>
          </w:tblCellMar>
        </w:tblPrEx>
        <w:trPr>
          <w:trHeight w:hRule="auto" w:val="0"/>
          <w:jc w:val="center"/>
        </w:trPr>
        <w:tc>
          <w:tcPr>
            <w:tcW w:w="24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30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176</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157</w:t>
            </w:r>
          </w:p>
        </w:tc>
        <w:tc>
          <w:tcPr>
            <w:tcW w:w="10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0.9</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3600"/>
        <w:gridCol w:w="2400"/>
        <w:gridCol w:w="1000"/>
        <w:gridCol w:w="1600"/>
        <w:gridCol w:w="14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36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2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2600" w:type="dxa"/>
            <w:gridSpan w:val="2"/>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日/周/月/志提交总数</w:t>
            </w:r>
          </w:p>
        </w:tc>
        <w:tc>
          <w:tcPr>
            <w:tcW w:w="14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人均篇数</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149</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396</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2.7</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152</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1194</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7.9</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65</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149</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723</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1029</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0.0</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106</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342</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208</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155</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0.7</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化学化工学院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144</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84</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0.6</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日志</w:t>
            </w:r>
          </w:p>
        </w:tc>
        <w:tc>
          <w:tcPr>
            <w:tcW w:w="16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610</w:t>
            </w:r>
          </w:p>
        </w:tc>
        <w:tc>
          <w:tcPr>
            <w:tcW w:w="14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8.0</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480</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1002</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2.1</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数学与大数据学院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135</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50</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0.4</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185</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290</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w:t>
            </w:r>
          </w:p>
        </w:tc>
      </w:tr>
      <w:tr>
        <w:tblPrEx>
          <w:tblW w:w="0" w:type="auto"/>
          <w:jc w:val="center"/>
          <w:tblInd w:w="400" w:type="dxa"/>
          <w:tblLayout w:type="fixed"/>
          <w:tblCellMar>
            <w:left w:w="108" w:type="dxa"/>
            <w:right w:w="108" w:type="dxa"/>
          </w:tblCellMar>
        </w:tblPrEx>
        <w:trPr>
          <w:trHeight w:hRule="auto" w:val="0"/>
          <w:jc w:val="center"/>
        </w:trPr>
        <w:tc>
          <w:tcPr>
            <w:tcW w:w="36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131</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月志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495</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3.8</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体育学院</w:t>
            </w:r>
          </w:p>
        </w:tc>
        <w:tc>
          <w:tcPr>
            <w:tcW w:w="2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196</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101</w:t>
            </w:r>
          </w:p>
        </w:tc>
        <w:tc>
          <w:tcPr>
            <w:tcW w:w="1400" w:type="dxa"/>
            <w:vMerge w:val="restart"/>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0.5</w:t>
            </w:r>
          </w:p>
        </w:tc>
      </w:tr>
      <w:tr>
        <w:tblPrEx>
          <w:tblW w:w="0" w:type="auto"/>
          <w:jc w:val="center"/>
          <w:tblInd w:w="400" w:type="dxa"/>
          <w:tblLayout w:type="fixed"/>
          <w:tblCellMar>
            <w:left w:w="108" w:type="dxa"/>
            <w:right w:w="108" w:type="dxa"/>
          </w:tblCellMar>
        </w:tblPrEx>
        <w:trPr>
          <w:trHeight w:hRule="auto" w:val="0"/>
          <w:jc w:val="center"/>
        </w:trPr>
        <w:tc>
          <w:tcPr>
            <w:tcW w:w="36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2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176</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周志</w:t>
            </w:r>
          </w:p>
        </w:tc>
        <w:tc>
          <w:tcPr>
            <w:tcW w:w="16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157</w:t>
            </w:r>
          </w:p>
        </w:tc>
        <w:tc>
          <w:tcPr>
            <w:tcW w:w="14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0.9</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4、签到统计</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211.2</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80.9%</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4.4</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医药与护理学院2022级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31892</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211.2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25813</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80.9%</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149</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655</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4.4</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655</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护理学(专升本)</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4.0</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医药与护理学院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301</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32551</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108.1</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26472</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81.3%</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000000"/>
          <w:kern w:val="0"/>
          <w:szCs w:val="21"/>
        </w:rPr>
        <w:t>除</w:t>
      </w:r>
      <w:r>
        <w:rPr>
          <w:rFonts w:ascii="微软雅黑" w:eastAsia="微软雅黑" w:hAnsi="微软雅黑" w:cs="微软雅黑"/>
          <w:color w:val="C00000"/>
          <w:kern w:val="0"/>
          <w:szCs w:val="21"/>
        </w:rPr>
        <w:t>市场营销、国际经济与贸易、工商管理</w:t>
      </w:r>
      <w:r>
        <w:rPr>
          <w:rFonts w:ascii="微软雅黑" w:eastAsia="微软雅黑" w:hAnsi="微软雅黑" w:cs="微软雅黑"/>
          <w:color w:val="000000"/>
          <w:kern w:val="0"/>
          <w:szCs w:val="21"/>
        </w:rPr>
        <w:t>外</w:t>
      </w:r>
      <w:r>
        <w:rPr>
          <w:rFonts w:ascii="微软雅黑" w:eastAsia="微软雅黑" w:hAnsi="微软雅黑" w:cs="微软雅黑"/>
          <w:color w:val="000000"/>
          <w:kern w:val="0"/>
          <w:szCs w:val="21"/>
        </w:rPr>
        <w:t>其他</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14.6</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86.8%</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经济管理学院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会计学</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128</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1872</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14.6</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1625</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86.8%</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97.0%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生命科学学院2023级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0.8</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99</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96</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97.0%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vMerge w:val="restart"/>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2022</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1400" w:type="dxa"/>
            <w:vMerge/>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生物科学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105</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82</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0.8</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82</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生命科学学院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208</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182</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0.9</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179</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98.4%</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16.4</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92.2%</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8.2</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物理学</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76</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622</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622</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100.0%</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电子信息工程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98</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2595</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26.5</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2500</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96.3%</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物联网工程</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382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5268</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13.8</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4749</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90.1%</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物理与电子信息学院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556</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8485</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15.3</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7871</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92.8%</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数学与大数据学院2020级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2.5</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85.2%</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数学与大数据学院</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数据科学与大数据技术</w:t>
            </w:r>
          </w:p>
        </w:tc>
        <w:tc>
          <w:tcPr>
            <w:tcW w:w="10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135</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344</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2.5</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293</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85.2%</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2.7</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92.7%</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28.3</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86.6%</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商务英语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18</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1.7</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27</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87.1%</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俄语</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37</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120</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3.2</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113</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94.2%</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英语(师范类)</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2021</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261</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7383</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28.3</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6391</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86.6%</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外国语学院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316</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7534</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23.8</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6531</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86.7%</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美术学院2023级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个专业均在计划中设置了要求学生签到，截止</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月</w:t>
      </w:r>
      <w:r>
        <w:rPr>
          <w:rFonts w:ascii="微软雅黑" w:eastAsia="微软雅黑" w:hAnsi="微软雅黑" w:cs="微软雅黑"/>
          <w:color w:val="C00000"/>
          <w:kern w:val="0"/>
          <w:szCs w:val="21"/>
        </w:rPr>
        <w:t>31</w:t>
      </w:r>
      <w:r>
        <w:rPr>
          <w:rFonts w:ascii="微软雅黑" w:eastAsia="微软雅黑" w:hAnsi="微软雅黑" w:cs="微软雅黑"/>
          <w:color w:val="000000"/>
          <w:kern w:val="0"/>
          <w:szCs w:val="21"/>
        </w:rPr>
        <w:t>日人均签到天数为</w:t>
      </w:r>
      <w:r>
        <w:rPr>
          <w:rFonts w:ascii="微软雅黑" w:eastAsia="微软雅黑" w:hAnsi="微软雅黑" w:cs="微软雅黑"/>
          <w:color w:val="C00000"/>
          <w:kern w:val="0"/>
          <w:szCs w:val="21"/>
        </w:rPr>
        <w:t>5.4</w:t>
      </w:r>
      <w:r>
        <w:rPr>
          <w:rFonts w:ascii="微软雅黑" w:eastAsia="微软雅黑" w:hAnsi="微软雅黑" w:cs="微软雅黑"/>
          <w:color w:val="000000"/>
          <w:kern w:val="0"/>
          <w:szCs w:val="21"/>
        </w:rPr>
        <w:t>天，签到正常率为</w:t>
      </w:r>
      <w:r>
        <w:rPr>
          <w:rFonts w:ascii="微软雅黑" w:eastAsia="微软雅黑" w:hAnsi="微软雅黑" w:cs="微软雅黑"/>
          <w:color w:val="C00000"/>
          <w:kern w:val="0"/>
          <w:szCs w:val="21"/>
        </w:rPr>
        <w:t>91.5%</w:t>
      </w:r>
      <w:r>
        <w:rPr>
          <w:rFonts w:ascii="微软雅黑" w:eastAsia="微软雅黑" w:hAnsi="微软雅黑" w:cs="微软雅黑"/>
          <w:color w:val="000000"/>
          <w:kern w:val="0"/>
          <w:szCs w:val="21"/>
        </w:rPr>
        <w:t>。</w:t>
      </w:r>
    </w:p>
    <w:tbl>
      <w:tblPr>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900"/>
        <w:gridCol w:w="1400"/>
        <w:gridCol w:w="1000"/>
        <w:gridCol w:w="1400"/>
        <w:gridCol w:w="1300"/>
        <w:gridCol w:w="1400"/>
        <w:gridCol w:w="1300"/>
        <w:gridCol w:w="900"/>
      </w:tblGrid>
      <w:tr>
        <w:tblPrEx>
          <w:tblW w:w="0" w:type="auto"/>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00"/>
          <w:jc w:val="center"/>
        </w:trPr>
        <w:tc>
          <w:tcPr>
            <w:tcW w:w="1900" w:type="dxa"/>
            <w:tcBorders>
              <w:top w:val="single" w:sz="16" w:space="0" w:color="000000"/>
              <w:left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学院</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专业</w:t>
            </w:r>
          </w:p>
        </w:tc>
        <w:tc>
          <w:tcPr>
            <w:tcW w:w="10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年级</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实习参与人数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签到总天数</w:t>
            </w:r>
          </w:p>
        </w:tc>
        <w:tc>
          <w:tcPr>
            <w:tcW w:w="14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人均签到天数</w:t>
            </w:r>
          </w:p>
        </w:tc>
        <w:tc>
          <w:tcPr>
            <w:tcW w:w="1300" w:type="dxa"/>
            <w:tcBorders>
              <w:top w:val="single" w:sz="16" w:space="0" w:color="000000"/>
              <w:left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正常签到天数</w:t>
            </w:r>
          </w:p>
        </w:tc>
        <w:tc>
          <w:tcPr>
            <w:tcW w:w="900" w:type="dxa"/>
            <w:tcBorders>
              <w:top w:val="single" w:sz="16" w:space="0" w:color="000000"/>
              <w:left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sz w:val="18"/>
                <w:szCs w:val="21"/>
              </w:rPr>
            </w:pPr>
            <w:r w:rsidRPr="0055365C">
              <w:rPr>
                <w:rFonts w:ascii="微软雅黑" w:eastAsia="微软雅黑" w:hAnsi="微软雅黑" w:cs="微软雅黑"/>
                <w:b/>
                <w:sz w:val="18"/>
                <w:szCs w:val="21"/>
              </w:rPr>
              <w:t>正常率</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val="restart"/>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环境设计</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87</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467</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5.4</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417</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89.3%</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视觉传达设计</w:t>
            </w:r>
          </w:p>
        </w:tc>
        <w:tc>
          <w:tcPr>
            <w:tcW w:w="10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2023</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89</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489</w:t>
            </w:r>
          </w:p>
        </w:tc>
        <w:tc>
          <w:tcPr>
            <w:tcW w:w="14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5.5</w:t>
            </w:r>
          </w:p>
        </w:tc>
        <w:tc>
          <w:tcPr>
            <w:tcW w:w="1300" w:type="dxa"/>
            <w:tcBorders>
              <w:top w:val="single" w:sz="8" w:space="0" w:color="DBDBDB"/>
              <w:left w:val="single" w:sz="8" w:space="0" w:color="DBDBDB"/>
              <w:bottom w:val="single" w:sz="8" w:space="0" w:color="DBDBDB"/>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458</w:t>
            </w:r>
          </w:p>
        </w:tc>
        <w:tc>
          <w:tcPr>
            <w:tcW w:w="900" w:type="dxa"/>
            <w:tcBorders>
              <w:top w:val="single" w:sz="8" w:space="0" w:color="DBDBDB"/>
              <w:left w:val="single" w:sz="8" w:space="0" w:color="DBDBDB"/>
              <w:bottom w:val="single" w:sz="8" w:space="0" w:color="DBDBDB"/>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93.7%</w:t>
            </w:r>
          </w:p>
        </w:tc>
      </w:tr>
      <w:tr>
        <w:tblPrEx>
          <w:tblW w:w="0" w:type="auto"/>
          <w:jc w:val="center"/>
          <w:tblInd w:w="400" w:type="dxa"/>
          <w:tblLayout w:type="fixed"/>
          <w:tblCellMar>
            <w:left w:w="108" w:type="dxa"/>
            <w:right w:w="108" w:type="dxa"/>
          </w:tblCellMar>
        </w:tblPrEx>
        <w:trPr>
          <w:trHeight w:hRule="auto" w:val="0"/>
          <w:jc w:val="center"/>
        </w:trPr>
        <w:tc>
          <w:tcPr>
            <w:tcW w:w="1900" w:type="dxa"/>
            <w:vMerge/>
            <w:tcBorders>
              <w:top w:val="single" w:sz="8" w:space="0" w:color="DBDBDB"/>
              <w:left w:val="single" w:sz="16" w:space="0" w:color="000000"/>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美术学院</w:t>
            </w:r>
          </w:p>
        </w:tc>
        <w:tc>
          <w:tcPr>
            <w:tcW w:w="2400" w:type="dxa"/>
            <w:gridSpan w:val="2"/>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合计</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176</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956</w:t>
            </w:r>
          </w:p>
        </w:tc>
        <w:tc>
          <w:tcPr>
            <w:tcW w:w="14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5.4</w:t>
            </w:r>
          </w:p>
        </w:tc>
        <w:tc>
          <w:tcPr>
            <w:tcW w:w="1300" w:type="dxa"/>
            <w:tcBorders>
              <w:top w:val="single" w:sz="8" w:space="0" w:color="DBDBDB"/>
              <w:left w:val="single" w:sz="8" w:space="0" w:color="DBDBDB"/>
              <w:bottom w:val="single" w:sz="16" w:space="0" w:color="000000"/>
              <w:right w:val="single" w:sz="8" w:space="0" w:color="DBDBDB"/>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875</w:t>
            </w:r>
          </w:p>
        </w:tc>
        <w:tc>
          <w:tcPr>
            <w:tcW w:w="900" w:type="dxa"/>
            <w:tcBorders>
              <w:top w:val="single" w:sz="8" w:space="0" w:color="DBDBDB"/>
              <w:left w:val="single" w:sz="8" w:space="0" w:color="DBDBDB"/>
              <w:bottom w:val="single" w:sz="16" w:space="0" w:color="000000"/>
              <w:right w:val="single" w:sz="16" w:space="0" w:color="000000"/>
            </w:tcBorders>
            <w:shd w:val="clear" w:color="auto" w:fill="FFFFFF"/>
            <w:vAlign w:val="center"/>
          </w:tcPr>
          <w:p w:rsidR="00A95256" w:rsidRPr="0055365C" w:rsidP="0055365C">
            <w:pPr>
              <w:adjustRightInd w:val="0"/>
              <w:snapToGrid w:val="0"/>
              <w:spacing w:line="240" w:lineRule="atLeast"/>
              <w:ind w:firstLine="0"/>
              <w:jc w:val="center"/>
              <w:rPr>
                <w:rFonts w:ascii="微软雅黑" w:eastAsia="微软雅黑" w:hAnsi="微软雅黑" w:cs="微软雅黑"/>
                <w:b w:val="0"/>
                <w:color w:val="000000"/>
                <w:sz w:val="18"/>
                <w:szCs w:val="21"/>
              </w:rPr>
            </w:pPr>
            <w:r w:rsidRPr="0055365C">
              <w:rPr>
                <w:rFonts w:ascii="微软雅黑" w:eastAsia="微软雅黑" w:hAnsi="微软雅黑" w:cs="微软雅黑"/>
                <w:b w:val="0"/>
                <w:color w:val="000000"/>
                <w:sz w:val="18"/>
                <w:szCs w:val="21"/>
              </w:rPr>
              <w:t>91.5%</w:t>
            </w:r>
          </w:p>
        </w:tc>
      </w:tr>
    </w:tbl>
    <w:p w:rsidR="00A95256" w:rsidRPr="0055365C" w:rsidP="0055365C">
      <w:pPr>
        <w:adjustRightInd w:val="0"/>
        <w:snapToGrid w:val="0"/>
        <w:spacing w:line="240" w:lineRule="atLeast"/>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5、实习报告提交情况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284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641600"/>
            <wp:docPr id="10003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247</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191</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77.3%</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286000"/>
            <wp:docPr id="10004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364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282</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77.5%</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641600"/>
            <wp:docPr id="10004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经济管理学院2023级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能源与机械学院2020级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102</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86</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84.3%</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生命科学学院2023级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105</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1.9%</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144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78</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54.2%</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480</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294</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61.3%</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4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76</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73</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96.1%</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4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数学与大数据学院2020级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135</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55</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261</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250</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95.8%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119</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64</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53.8%</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94</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马克思主义学院2023级</w:t>
      </w:r>
      <w:r>
        <w:rPr>
          <w:rFonts w:ascii="微软雅黑" w:eastAsia="微软雅黑" w:hAnsi="微软雅黑" w:cs="微软雅黑"/>
          <w:color w:val="000000"/>
          <w:kern w:val="0"/>
          <w:szCs w:val="21"/>
        </w:rPr>
        <w:t>，需要提交实习报告人次为</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人，报告提交人次为</w:t>
      </w:r>
      <w:r>
        <w:rPr>
          <w:rFonts w:ascii="微软雅黑" w:eastAsia="微软雅黑" w:hAnsi="微软雅黑" w:cs="微软雅黑"/>
          <w:color w:val="C00000"/>
          <w:kern w:val="0"/>
          <w:szCs w:val="21"/>
        </w:rPr>
        <w:t>39</w:t>
      </w:r>
      <w:r>
        <w:rPr>
          <w:rFonts w:ascii="微软雅黑" w:eastAsia="微软雅黑" w:hAnsi="微软雅黑" w:cs="微软雅黑"/>
          <w:color w:val="000000"/>
          <w:kern w:val="0"/>
          <w:szCs w:val="21"/>
        </w:rPr>
        <w:t>人，实习报告提交率均为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Pr>
          <w:rFonts w:ascii="微软雅黑" w:eastAsia="微软雅黑" w:hAnsi="微软雅黑" w:cs="微软雅黑"/>
          <w:b/>
          <w:bCs/>
          <w:color w:val="000000"/>
          <w:kern w:val="0"/>
          <w:szCs w:val="21"/>
        </w:rPr>
        <w:t>6、指导老师指导情况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b/>
          <w:bCs/>
          <w:color w:val="000000"/>
          <w:kern w:val="0"/>
          <w:szCs w:val="21"/>
        </w:rPr>
        <w:t>(1) 日周月志批阅情况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85.2%</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朱亚飞</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73</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医药与护理学院2021级，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27.0%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贾相第</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5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经济管理学院2020级，</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44.1%</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孙志胜</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40</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3352800"/>
            <wp:docPr id="10005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31.1%</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金红兰</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34</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5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59.4%</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许倩倩</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87</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0</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286000"/>
            <wp:docPr id="10006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经济管理学院2023级，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15.8%</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王君华</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32.1%</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谭棕</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16</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20.8%</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高静</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38</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6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日志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71.5%</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荆莉</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308</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外国语学院2020级，</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67.4%</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王娴娴</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6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88.7%</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龙娜娜</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26</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月志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88.3%</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程福梅</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45</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6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体育学院2021级，</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w:t>
      </w:r>
      <w:r>
        <w:rPr>
          <w:rFonts w:ascii="微软雅黑" w:eastAsia="微软雅黑" w:hAnsi="微软雅黑" w:cs="微软雅黑"/>
          <w:color w:val="C00000"/>
          <w:kern w:val="0"/>
          <w:szCs w:val="21"/>
        </w:rPr>
        <w:t>周志</w:t>
      </w:r>
      <w:r>
        <w:rPr>
          <w:rFonts w:ascii="微软雅黑" w:eastAsia="微软雅黑" w:hAnsi="微软雅黑" w:cs="微软雅黑"/>
          <w:color w:val="000000"/>
          <w:kern w:val="0"/>
          <w:szCs w:val="21"/>
        </w:rPr>
        <w:t>的平均批阅率为</w:t>
      </w:r>
      <w:r>
        <w:rPr>
          <w:rFonts w:ascii="微软雅黑" w:eastAsia="微软雅黑" w:hAnsi="微软雅黑" w:cs="微软雅黑"/>
          <w:color w:val="C00000"/>
          <w:kern w:val="0"/>
          <w:szCs w:val="21"/>
        </w:rPr>
        <w:t>58.4%</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马红霞</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56</w:t>
      </w:r>
      <w:r>
        <w:rPr>
          <w:rFonts w:ascii="微软雅黑" w:eastAsia="微软雅黑" w:hAnsi="微软雅黑" w:cs="微软雅黑"/>
          <w:color w:val="000000"/>
          <w:kern w:val="0"/>
          <w:szCs w:val="21"/>
        </w:rPr>
        <w:t>篇</w:t>
      </w:r>
      <w:r>
        <w:rPr>
          <w:rFonts w:ascii="微软雅黑" w:eastAsia="微软雅黑" w:hAnsi="微软雅黑" w:cs="微软雅黑"/>
          <w:color w:val="000000"/>
          <w:kern w:val="0"/>
          <w:szCs w:val="21"/>
        </w:rPr>
        <w:t>。</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6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b/>
          <w:bCs/>
          <w:color w:val="000000"/>
          <w:kern w:val="0"/>
          <w:szCs w:val="21"/>
        </w:rPr>
        <w:t>(2) 实习报告批阅情况</w:t>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3</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71.7%</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高林</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74</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286000"/>
            <wp:docPr id="100068"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4</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5.0%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王杰志</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14</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2641600"/>
            <wp:docPr id="100069"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经济管理学院2023级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100.0%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王君华</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79</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0"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化学化工学院2020级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26.9%</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谭棕</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12</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1"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物理与电子信息学院2020级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2</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0.0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张秀梅</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930400"/>
            <wp:docPr id="100072"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物理与电子信息学院2021级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11.0%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荆莉</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8</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3"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外国语学院2021级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83.6%</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孙宪梅</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20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4"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外国语学院2022级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25.0%</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王雪青</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10</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5"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马克思主义学院2022级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37.2%</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罗敏敏</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5</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6"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A95256" w:rsidRPr="0055365C" w:rsidP="0055365C">
      <w:pPr>
        <w:adjustRightInd w:val="0"/>
        <w:snapToGrid w:val="0"/>
        <w:spacing w:line="360" w:lineRule="auto"/>
        <w:ind w:firstLine="420"/>
        <w:jc w:val="left"/>
        <w:rPr>
          <w:rFonts w:ascii="微软雅黑" w:eastAsia="微软雅黑" w:hAnsi="微软雅黑"/>
          <w:szCs w:val="21"/>
        </w:rPr>
      </w:pPr>
      <w:r>
        <w:rPr>
          <w:rFonts w:ascii="微软雅黑" w:eastAsia="微软雅黑" w:hAnsi="微软雅黑" w:cs="微软雅黑"/>
          <w:color w:val="C00000"/>
          <w:kern w:val="0"/>
          <w:szCs w:val="21"/>
        </w:rPr>
        <w:t>马克思主义学院2023级</w:t>
      </w:r>
      <w:r>
        <w:rPr>
          <w:rFonts w:ascii="微软雅黑" w:eastAsia="微软雅黑" w:hAnsi="微软雅黑" w:cs="微软雅黑"/>
          <w:color w:val="000000"/>
          <w:kern w:val="0"/>
          <w:szCs w:val="21"/>
        </w:rPr>
        <w:t>,</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个专业平均批阅率为</w:t>
      </w:r>
      <w:r>
        <w:rPr>
          <w:rFonts w:ascii="微软雅黑" w:eastAsia="微软雅黑" w:hAnsi="微软雅黑" w:cs="微软雅黑"/>
          <w:color w:val="C00000"/>
          <w:kern w:val="0"/>
          <w:szCs w:val="21"/>
        </w:rPr>
        <w:t>89.7%</w:t>
      </w:r>
      <w:r>
        <w:rPr>
          <w:rFonts w:ascii="微软雅黑" w:eastAsia="微软雅黑" w:hAnsi="微软雅黑" w:cs="微软雅黑"/>
          <w:color w:val="000000"/>
          <w:kern w:val="0"/>
          <w:szCs w:val="21"/>
        </w:rPr>
        <w:t>,其中</w:t>
      </w:r>
      <w:r>
        <w:rPr>
          <w:rFonts w:ascii="微软雅黑" w:eastAsia="微软雅黑" w:hAnsi="微软雅黑" w:cs="微软雅黑"/>
          <w:color w:val="C00000"/>
          <w:kern w:val="0"/>
          <w:szCs w:val="21"/>
        </w:rPr>
        <w:t>孙春晖</w:t>
      </w:r>
      <w:r>
        <w:rPr>
          <w:rFonts w:ascii="微软雅黑" w:eastAsia="微软雅黑" w:hAnsi="微软雅黑" w:cs="微软雅黑"/>
          <w:color w:val="000000"/>
          <w:kern w:val="0"/>
          <w:szCs w:val="21"/>
        </w:rPr>
        <w:t>老师批阅了</w:t>
      </w:r>
      <w:r>
        <w:rPr>
          <w:rFonts w:ascii="微软雅黑" w:eastAsia="微软雅黑" w:hAnsi="微软雅黑" w:cs="微软雅黑"/>
          <w:color w:val="C00000"/>
          <w:kern w:val="0"/>
          <w:szCs w:val="21"/>
        </w:rPr>
        <w:t>1</w:t>
      </w:r>
      <w:r>
        <w:rPr>
          <w:rFonts w:ascii="微软雅黑" w:eastAsia="微软雅黑" w:hAnsi="微软雅黑" w:cs="微软雅黑"/>
          <w:color w:val="000000"/>
          <w:kern w:val="0"/>
          <w:szCs w:val="21"/>
        </w:rPr>
        <w:t>篇。</w:t>
      </w:r>
    </w:p>
    <w:p w:rsidR="00A95256" w:rsidRPr="0055365C" w:rsidP="0055365C">
      <w:pPr>
        <w:adjustRightInd w:val="0"/>
        <w:snapToGrid w:val="0"/>
        <w:spacing w:line="360" w:lineRule="auto"/>
        <w:ind w:firstLine="0"/>
        <w:jc w:val="left"/>
        <w:rPr>
          <w:rFonts w:ascii="微软雅黑" w:eastAsia="微软雅黑" w:hAnsi="微软雅黑"/>
          <w:szCs w:val="21"/>
        </w:rPr>
      </w:pPr>
    </w:p>
    <w:p w:rsidR="00A95256" w:rsidRPr="0055365C" w:rsidP="0055365C">
      <w:pPr>
        <w:adjustRightInd w:val="0"/>
        <w:snapToGrid w:val="0"/>
        <w:spacing w:line="360" w:lineRule="auto"/>
        <w:ind w:firstLine="0"/>
        <w:jc w:val="center"/>
        <w:rPr>
          <w:rFonts w:ascii="微软雅黑" w:eastAsia="微软雅黑" w:hAnsi="微软雅黑"/>
          <w:szCs w:val="21"/>
        </w:rPr>
      </w:pPr>
      <w:r w:rsidRPr="0055365C">
        <w:rPr>
          <w:rFonts w:ascii="微软雅黑" w:eastAsia="微软雅黑" w:hAnsi="微软雅黑"/>
          <w:szCs w:val="21"/>
        </w:rPr>
        <w:drawing>
          <wp:inline>
            <wp:extent cx="5080000" cy="1574800"/>
            <wp:docPr id="100077" name="" title="图表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A95256" w:rsidRPr="0055365C" w:rsidP="0055365C">
      <w:pPr>
        <w:adjustRightInd w:val="0"/>
        <w:snapToGrid w:val="0"/>
        <w:spacing w:line="360" w:lineRule="auto"/>
        <w:ind w:firstLine="0"/>
        <w:jc w:val="left"/>
        <w:rPr>
          <w:rFonts w:ascii="微软雅黑" w:eastAsia="微软雅黑" w:hAnsi="微软雅黑"/>
          <w:szCs w:val="21"/>
        </w:rPr>
      </w:pPr>
      <w:r w:rsidRPr="0055365C">
        <w:rPr>
          <w:rFonts w:ascii="微软雅黑" w:eastAsia="微软雅黑" w:hAnsi="微软雅黑"/>
          <w:szCs w:val="21"/>
        </w:rPr>
        <w:br/>
      </w: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医药与护理学院优秀周日月志</w:t>
      </w:r>
    </w:p>
    <w:p w:rsidR="00A95256" w:rsidRPr="0055365C" w:rsidP="0055365C">
      <w:pPr>
        <w:adjustRightInd w:val="0"/>
        <w:snapToGrid w:val="0"/>
        <w:spacing w:line="360" w:lineRule="auto"/>
        <w:ind w:firstLine="0"/>
        <w:jc w:val="center"/>
        <w:rPr>
          <w:rFonts w:ascii="微软雅黑" w:eastAsia="微软雅黑" w:hAnsi="微软雅黑"/>
          <w:szCs w:val="21"/>
        </w:rPr>
      </w:pPr>
      <w:r>
        <w:rPr>
          <w:rFonts w:ascii="微软雅黑" w:eastAsia="微软雅黑" w:hAnsi="微软雅黑" w:cs="微软雅黑"/>
          <w:color w:val="C00000"/>
          <w:kern w:val="0"/>
          <w:szCs w:val="21"/>
        </w:rPr>
        <w:t>耳鼻喉科实习小结</w:t>
      </w:r>
    </w:p>
    <w:p>
      <w:pPr>
        <w:widowControl/>
        <w:spacing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耳鼻喉科的实习即将结束，在这一个多月的实习期间，我遵纪守法，遵守医院及医院各科室的各项规章制度，尊敬师长，团结同学，严格要求自己，努力做到不迟到、不早退、不无故旷工及擅自离开工作岗位。对待病人和蔼可亲，态度良好，努力将所学理论知识和基本技能应用于实践。在此过程中我不断总结学习方法和临床经验，尽力提高独立思考、独立解决问题、独立工作的能力，不断培养自己全心全意为人民服务的崇高思想和良好的职业道德。</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耳鼻咽喉科轮转期间，在带教老师的指导下完成相应临床工作，在巩固耳鼻咽喉科理论知识的基础，上，使我们了解了临床常见专科检查方法，如耳窥镜，前鼻窥镜，压舌板，音叉等的使用方法，以及了解临床常见专科手术，如慢性化脓性中耳炎、鼻窦炎内窥镜手术、扁桃体切除术、气管切开术、腺体样刮除术、鼓膜切开置管术、鼻中隔偏曲矫正术。在该科学习的这段时间，我深刻体会到实习不仅要求我们努力学习临床基础知识还要培养自己思考分析整合的能力，以及良好的沟通能力。希望在今后的学习和工作中能不断地发现问题，精进自己的能力。</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并且我在本科室实习期间，遵守劳动纪律，工作认真，勤学好问，能将自己在书本中所学知识用于实际。在老师的指导下，我基本掌握了耳鼻喉科一些常见病的护理以及一些基本操作，是我从一个实习生逐步向护士过度，从而让我认识到临床工作的特殊性与必要性。以前在学校所学都是理论上的，现在接触临床才发现实际工作所见并非想象那么简单，并非如书上说写那么典型，好多时候都是要靠自己平时在工作中的经验积。</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最后感谢各位老师的细心教导，是我的理论知识得到了 巩固，实践能力也得到了进一步的提升，我将带着﹣﹣颗感恩的心继续努力学习。</w:t>
      </w: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sidRPr="0055365C">
        <w:rPr>
          <w:rFonts w:ascii="微软雅黑" w:eastAsia="微软雅黑" w:hAnsi="微软雅黑"/>
          <w:szCs w:val="21"/>
        </w:rPr>
        <w:br/>
      </w: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物理与电子信息学院优秀周日月志</w:t>
      </w:r>
    </w:p>
    <w:p w:rsidR="00A95256" w:rsidRPr="0055365C" w:rsidP="0055365C">
      <w:pPr>
        <w:adjustRightInd w:val="0"/>
        <w:snapToGrid w:val="0"/>
        <w:spacing w:line="360" w:lineRule="auto"/>
        <w:ind w:firstLine="0"/>
        <w:jc w:val="center"/>
        <w:rPr>
          <w:rFonts w:ascii="微软雅黑" w:eastAsia="微软雅黑" w:hAnsi="微软雅黑"/>
          <w:szCs w:val="21"/>
        </w:rPr>
      </w:pPr>
      <w:r>
        <w:rPr>
          <w:rFonts w:ascii="微软雅黑" w:eastAsia="微软雅黑" w:hAnsi="微软雅黑" w:cs="微软雅黑"/>
          <w:color w:val="C00000"/>
          <w:kern w:val="0"/>
          <w:szCs w:val="21"/>
        </w:rPr>
        <w:t>第一周周志</w:t>
      </w:r>
    </w:p>
    <w:p>
      <w:pPr>
        <w:widowControl/>
        <w:spacing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这周，我有幸在诺萱通讯店的产品售后部门实习，这段经历让我对通讯产品的售后服务有了更加深入的认识和体验。</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周一，我带着对未知的好奇和对学习的热情踏入了诺萱通讯店。刚进入产品售后部门，我便被这里的忙碌氛围所吸引。我的导师是一位资深的售后工程师，他详细地为我介绍了产品售后的基本流程、常见问题及其解决方案。</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周二开始，我正式投入到了售后服务的实际工作中。我的主要任务是协助工程师处理客户的售后问题，包括产品安装、软件更新、故障排查等。在处理这些问题的过程中，我深感每一个细节都至关重要。例如，一次看似简单的软件更新，背后却涉及到了多个步骤和注意事项。</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周三，我遇到了一位因为手机信号问题而困扰的客户。在深入了解情况后，我发现这是一个较为复杂的硬件问题。在导师的指导下，我学习了如何进行硬件检测和更换，并最终为客户解决了问题。这次经历让我深刻体会到了售后服务的专业性和挑战性。</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周四，我开始参与售后部门的内部培训。通过培训，我更加深入地了解了通讯产品的技术原理、常见故障及其维修方法。同时，我也学到了如何与客户沟通、如何快速定位问题等实用技巧。这次培训让我受益匪浅，也让我对自己的工作有了更加清晰的认识。</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周五，我参与了一次售后服务团队的总结会议。在会议中，我听到了同事们分享的一些成功案例和经验教训。这些分享让我更加明白了售后服务的重要性和挑战性。同时，我也对自己的实习经历进行了反思和总结，认识到了自己在工作中的不足和需要改进的地方。</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通过这一周的实习，我对通讯产品的售后服务有了更加深入的了解和体验。我深刻认识到了售后服务在通讯行业中的重要性，它不仅关系到客户的满意度和忠诚度，更是企业形象和竞争力的重要体现。同时，我也认识到了自己在专业知识和沟通能力等方面的不足，需要在未来的学习和工作中不断努力提升。</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回顾这一周的实习经历，我收获颇丰。我不仅学到了很多实用的专业知识和技能，还深刻体会到了团队合作和沟通的重要性。在未来的学习和工作中，我将继续努力，不断提升自己的综合素质和能力水平，为成为一名优秀的售后服务工程师而努力奋斗。</w:t>
      </w: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0"/>
        <w:jc w:val="left"/>
        <w:rPr>
          <w:rFonts w:ascii="微软雅黑" w:eastAsia="微软雅黑" w:hAnsi="微软雅黑"/>
          <w:szCs w:val="21"/>
        </w:rPr>
      </w:pPr>
      <w:r w:rsidRPr="0055365C">
        <w:rPr>
          <w:rFonts w:ascii="微软雅黑" w:eastAsia="微软雅黑" w:hAnsi="微软雅黑"/>
          <w:szCs w:val="21"/>
        </w:rPr>
        <w:br/>
      </w:r>
      <w:r>
        <w:rPr>
          <w:rFonts w:ascii="Segoe UI Symbol" w:eastAsia="Segoe UI Symbol" w:hAnsi="Segoe UI Symbol" w:cs="Segoe UI Symbol"/>
          <w:color w:val="C00000"/>
          <w:kern w:val="0"/>
          <w:sz w:val="28"/>
          <w:szCs w:val="28"/>
        </w:rPr>
        <w:t>❖</w:t>
      </w:r>
      <w:r>
        <w:rPr>
          <w:rFonts w:ascii="微软雅黑" w:eastAsia="微软雅黑" w:hAnsi="微软雅黑" w:cs="微软雅黑"/>
          <w:color w:val="C00000"/>
          <w:kern w:val="0"/>
          <w:sz w:val="28"/>
          <w:szCs w:val="28"/>
        </w:rPr>
        <w:t xml:space="preserve"> </w:t>
      </w:r>
      <w:r>
        <w:rPr>
          <w:rFonts w:ascii="微软雅黑" w:eastAsia="微软雅黑" w:hAnsi="微软雅黑" w:cs="微软雅黑"/>
          <w:b/>
          <w:bCs/>
          <w:color w:val="C00000"/>
          <w:kern w:val="0"/>
          <w:sz w:val="28"/>
          <w:szCs w:val="28"/>
        </w:rPr>
        <w:t>外国语学院优秀周日月志</w:t>
      </w:r>
    </w:p>
    <w:p w:rsidR="00A95256" w:rsidRPr="0055365C" w:rsidP="0055365C">
      <w:pPr>
        <w:adjustRightInd w:val="0"/>
        <w:snapToGrid w:val="0"/>
        <w:spacing w:line="360" w:lineRule="auto"/>
        <w:ind w:firstLine="0"/>
        <w:jc w:val="center"/>
        <w:rPr>
          <w:rFonts w:ascii="微软雅黑" w:eastAsia="微软雅黑" w:hAnsi="微软雅黑"/>
          <w:szCs w:val="21"/>
        </w:rPr>
      </w:pPr>
      <w:r>
        <w:rPr>
          <w:rFonts w:ascii="微软雅黑" w:eastAsia="微软雅黑" w:hAnsi="微软雅黑" w:cs="微软雅黑"/>
          <w:color w:val="C00000"/>
          <w:kern w:val="0"/>
          <w:szCs w:val="21"/>
        </w:rPr>
        <w:t>九月实习月志</w:t>
      </w:r>
    </w:p>
    <w:p>
      <w:pPr>
        <w:widowControl/>
        <w:spacing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第一个月月志</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实习时间∶</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第一个月 2023年9月8日——9月28日</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实习内容∶</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本月被分配成为了一年级英语老师，负责该学校上学期所有一年级班级的教学。在本月中，我主要给学生讲了两个课时的内容，以下是我的备课记录∶</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strike w:val="0"/>
          <w:color w:val="000000"/>
          <w:kern w:val="0"/>
          <w:szCs w:val="21"/>
          <w:u w:val="none"/>
        </w:rPr>
        <w:pict>
          <v:shape id="_x0000_i1027" type="#_x0000_t75" style="width:419.25pt;height:558.75pt">
            <v:imagedata r:id="rId80" o:title=""/>
            <o:lock v:ext="edit" aspectratio="t"/>
          </v:shape>
        </w:pict>
      </w:r>
      <w:r>
        <w:rPr>
          <w:rFonts w:ascii="微软雅黑" w:eastAsia="微软雅黑" w:hAnsi="微软雅黑" w:cs="微软雅黑"/>
          <w:strike w:val="0"/>
          <w:color w:val="000000"/>
          <w:kern w:val="0"/>
          <w:szCs w:val="21"/>
          <w:u w:val="none"/>
        </w:rPr>
        <w:pict>
          <v:shape id="_x0000_i1028" type="#_x0000_t75" style="width:419.25pt;height:558.75pt">
            <v:imagedata r:id="rId81" o:title=""/>
            <o:lock v:ext="edit" aspectratio="t"/>
          </v:shape>
        </w:pict>
      </w:r>
      <w:r>
        <w:rPr>
          <w:rFonts w:ascii="微软雅黑" w:eastAsia="微软雅黑" w:hAnsi="微软雅黑" w:cs="微软雅黑"/>
          <w:strike w:val="0"/>
          <w:color w:val="000000"/>
          <w:kern w:val="0"/>
          <w:szCs w:val="21"/>
          <w:u w:val="none"/>
        </w:rPr>
        <w:pict>
          <v:shape id="_x0000_i1029" type="#_x0000_t75" style="width:419.25pt;height:558.75pt">
            <v:imagedata r:id="rId82" o:title=""/>
            <o:lock v:ext="edit" aspectratio="t"/>
          </v:shape>
        </w:pict>
      </w:r>
      <w:r>
        <w:rPr>
          <w:rFonts w:ascii="微软雅黑" w:eastAsia="微软雅黑" w:hAnsi="微软雅黑" w:cs="微软雅黑"/>
          <w:strike w:val="0"/>
          <w:color w:val="000000"/>
          <w:kern w:val="0"/>
          <w:szCs w:val="21"/>
          <w:u w:val="none"/>
        </w:rPr>
        <w:pict>
          <v:shape id="_x0000_i1030" type="#_x0000_t75" style="width:419.25pt;height:558.75pt">
            <v:imagedata r:id="rId83" o:title=""/>
            <o:lock v:ext="edit" aspectratio="t"/>
          </v:shape>
        </w:pict>
      </w:r>
      <w:r>
        <w:rPr>
          <w:rFonts w:ascii="微软雅黑" w:eastAsia="微软雅黑" w:hAnsi="微软雅黑" w:cs="微软雅黑"/>
          <w:strike w:val="0"/>
          <w:color w:val="000000"/>
          <w:kern w:val="0"/>
          <w:szCs w:val="21"/>
          <w:u w:val="none"/>
        </w:rPr>
        <w:pict>
          <v:shape id="_x0000_i1031" type="#_x0000_t75" style="width:419.25pt;height:558.75pt">
            <v:imagedata r:id="rId84" o:title=""/>
            <o:lock v:ext="edit" aspectratio="t"/>
          </v:shape>
        </w:pic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在其他空余时间我还去听了四年级英语老师的公开课，在公开课中受益匪浅，学到了引导学生学习的方法和活动。以下是我的听课记录∶</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strike w:val="0"/>
          <w:color w:val="000000"/>
          <w:kern w:val="0"/>
          <w:szCs w:val="21"/>
          <w:u w:val="none"/>
        </w:rPr>
        <w:pict>
          <v:shape id="_x0000_i1032" type="#_x0000_t75" style="width:419.25pt;height:558.75pt">
            <v:imagedata r:id="rId85" o:title=""/>
            <o:lock v:ext="edit" aspectratio="t"/>
          </v:shape>
        </w:pict>
      </w:r>
      <w:r>
        <w:rPr>
          <w:rFonts w:ascii="微软雅黑" w:eastAsia="微软雅黑" w:hAnsi="微软雅黑" w:cs="微软雅黑"/>
          <w:strike w:val="0"/>
          <w:color w:val="000000"/>
          <w:kern w:val="0"/>
          <w:szCs w:val="21"/>
          <w:u w:val="none"/>
        </w:rPr>
        <w:pict>
          <v:shape id="_x0000_i1033" type="#_x0000_t75" style="width:419.25pt;height:558.75pt">
            <v:imagedata r:id="rId86" o:title=""/>
            <o:lock v:ext="edit" aspectratio="t"/>
          </v:shape>
        </w:pic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这一个月的教学过程中，我发现我个人部分理论基础知识不扎实，比如教学生练习字母时会忘记某个字母的小写占四线三格的哪几格，但是过会又会突然想起来，我认为这是基础知识不扎实的问题，还有部分原因是我没有好好了解学生，不清楚一年级学生的英语教学应该从哪开始教，没有做好前期准备工作，只是一味的跟着课本来。在实际教学过程中，对于课堂的把握还是不够成熟，给学生讲解知识的形式过于枯燥导致部分学生无论怎么学也不会，甚至干脆不听，我应提前了解每个班同学的特点，因材施教，才能更好的把知识传授给她们。对于课堂上的突发状况我有时容易手忙脚乱，不能很好的处理，希望以后我可以妥善处理好。</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在这一个月切身体验老师这个职业之后，</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我收获了很多，知道了如何引导学生学习的方法，同时也学习到了很多教学方法，比如抛出问题让学生思考从而引出课文重点等等。我的实际教学运用也得到了锻炼。目前我需要做的就是了解学生，根据不同学生特点制定不同的上课计划，根据需要制定重点，充分发挥学生的主观能动性！希望新的一月我能做的更好！</w:t>
      </w:r>
    </w:p>
    <w:p>
      <w:pPr>
        <w:widowControl/>
        <w:spacing w:before="210" w:after="210"/>
        <w:jc w:val="left"/>
        <w:rPr>
          <w:rFonts w:ascii="微软雅黑" w:eastAsia="微软雅黑" w:hAnsi="微软雅黑" w:cs="微软雅黑"/>
          <w:color w:val="000000"/>
          <w:kern w:val="0"/>
          <w:szCs w:val="21"/>
        </w:rPr>
      </w:pPr>
      <w:r>
        <w:rPr>
          <w:rFonts w:ascii="微软雅黑" w:eastAsia="微软雅黑" w:hAnsi="微软雅黑" w:cs="微软雅黑"/>
          <w:color w:val="000000"/>
          <w:kern w:val="0"/>
          <w:szCs w:val="21"/>
        </w:rPr>
        <w:t> </w:t>
      </w:r>
    </w:p>
    <w:p>
      <w:pPr>
        <w:widowControl/>
        <w:spacing w:before="210" w:after="210"/>
        <w:jc w:val="left"/>
        <w:rPr>
          <w:rFonts w:ascii="微软雅黑" w:eastAsia="微软雅黑" w:hAnsi="微软雅黑" w:cs="微软雅黑"/>
          <w:color w:val="000000"/>
          <w:kern w:val="0"/>
          <w:szCs w:val="21"/>
        </w:rPr>
      </w:pPr>
    </w:p>
    <w:p w:rsidR="00A95256" w:rsidRPr="0055365C" w:rsidP="0055365C">
      <w:pPr>
        <w:adjustRightInd w:val="0"/>
        <w:snapToGrid w:val="0"/>
        <w:spacing w:line="360" w:lineRule="auto"/>
        <w:ind w:firstLine="420"/>
        <w:jc w:val="left"/>
        <w:rPr>
          <w:rFonts w:ascii="微软雅黑" w:eastAsia="微软雅黑" w:hAnsi="微软雅黑"/>
          <w:szCs w:val="21"/>
        </w:rPr>
      </w:pPr>
    </w:p>
    <w:p w:rsidR="00A95256" w:rsidRPr="0055365C" w:rsidP="0055365C">
      <w:pPr>
        <w:adjustRightInd w:val="0"/>
        <w:snapToGrid w:val="0"/>
        <w:spacing w:line="360" w:lineRule="auto"/>
        <w:ind w:firstLine="420"/>
        <w:jc w:val="right"/>
        <w:rPr>
          <w:rFonts w:ascii="微软雅黑" w:eastAsia="微软雅黑" w:hAnsi="微软雅黑"/>
          <w:szCs w:val="21"/>
        </w:rPr>
      </w:pPr>
      <w:r w:rsidRPr="0055365C">
        <w:rPr>
          <w:rFonts w:ascii="微软雅黑" w:eastAsia="微软雅黑" w:hAnsi="微软雅黑"/>
          <w:szCs w:val="21"/>
        </w:rPr>
        <w:br/>
      </w:r>
      <w:r w:rsidRPr="0055365C">
        <w:rPr>
          <w:rFonts w:ascii="微软雅黑" w:eastAsia="微软雅黑" w:hAnsi="微软雅黑"/>
          <w:szCs w:val="21"/>
        </w:rPr>
        <w:br/>
      </w:r>
      <w:r w:rsidRPr="0055365C">
        <w:rPr>
          <w:rFonts w:ascii="微软雅黑" w:eastAsia="微软雅黑" w:hAnsi="微软雅黑"/>
          <w:szCs w:val="21"/>
        </w:rPr>
        <w:br/>
      </w:r>
    </w:p>
    <w:p w:rsidR="00A95256" w:rsidRPr="0055365C" w:rsidP="0055365C">
      <w:pPr>
        <w:adjustRightInd w:val="0"/>
        <w:snapToGrid w:val="0"/>
        <w:spacing w:line="360" w:lineRule="auto"/>
        <w:ind w:firstLine="420"/>
        <w:jc w:val="right"/>
        <w:rPr>
          <w:rFonts w:ascii="微软雅黑" w:eastAsia="微软雅黑" w:hAnsi="微软雅黑"/>
          <w:szCs w:val="21"/>
        </w:rPr>
      </w:pPr>
      <w:r>
        <w:rPr>
          <w:rFonts w:ascii="微软雅黑" w:eastAsia="微软雅黑" w:hAnsi="微软雅黑" w:cs="微软雅黑"/>
          <w:color w:val="000000"/>
          <w:kern w:val="0"/>
          <w:szCs w:val="21"/>
        </w:rPr>
        <w:t>浙江校友邦科技有限公司</w:t>
      </w:r>
      <w:r>
        <w:rPr>
          <w:rFonts w:ascii="Times New Roman" w:eastAsia="Times New Roman" w:hAnsi="Times New Roman" w:cs="Times New Roman"/>
          <w:kern w:val="0"/>
          <w:sz w:val="24"/>
        </w:rPr>
        <w:t>      </w:t>
      </w:r>
    </w:p>
    <w:p w:rsidR="00A95256" w:rsidRPr="0055365C" w:rsidP="0055365C">
      <w:pPr>
        <w:adjustRightInd w:val="0"/>
        <w:snapToGrid w:val="0"/>
        <w:spacing w:line="360" w:lineRule="auto"/>
        <w:ind w:firstLine="420"/>
        <w:jc w:val="right"/>
        <w:rPr>
          <w:rFonts w:ascii="微软雅黑" w:eastAsia="微软雅黑" w:hAnsi="微软雅黑"/>
          <w:szCs w:val="21"/>
        </w:rPr>
      </w:pPr>
      <w:r>
        <w:rPr>
          <w:rFonts w:ascii="微软雅黑" w:eastAsia="微软雅黑" w:hAnsi="微软雅黑" w:cs="微软雅黑"/>
          <w:color w:val="000000"/>
          <w:kern w:val="0"/>
          <w:szCs w:val="21"/>
        </w:rPr>
        <w:t>2024.04.02</w:t>
      </w:r>
      <w:r>
        <w:rPr>
          <w:rFonts w:ascii="Times New Roman" w:eastAsia="Times New Roman" w:hAnsi="Times New Roman" w:cs="Times New Roman"/>
          <w:kern w:val="0"/>
          <w:sz w:val="24"/>
        </w:rPr>
        <w:t>              </w:t>
      </w:r>
    </w:p>
    <w:sectPr>
      <w:footerReference w:type="default" r:id="rId87"/>
      <w:footerReference w:type="first" r:id="rId88"/>
      <w:pgSz w:w="11906" w:h="16838"/>
      <w:pgMar w:top="1440" w:right="1080" w:bottom="1440" w:left="1080" w:header="283" w:footer="992" w:gutter="0"/>
      <w:pgNumType w:start="1"/>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Segoe UI Symbol">
    <w:altName w:val="苹方-简"/>
    <w:panose1 w:val="020B0502040204020203"/>
    <w:charset w:val="00"/>
    <w:family w:val="swiss"/>
    <w:pitch w:val="variable"/>
    <w:sig w:usb0="8000006F" w:usb1="1200FBEF" w:usb2="0064C000" w:usb3="00000000" w:csb0="00000001" w:csb1="00000000"/>
  </w:font>
  <w:font w:name="Calibri Light">
    <w:altName w:val="Helvetica Neue"/>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r>
      <w:pict>
        <v:shapetype id="_x0000_t202" coordsize="21600,21600" o:spt="202" path="m,l,21600r21600,l21600,xe">
          <v:stroke joinstyle="miter"/>
          <v:path gradientshapeok="t" o:connecttype="rect"/>
        </v:shapetype>
        <v:shape id="文本框 5" o:spid="_x0000_s2049" type="#_x0000_t202" style="width:2in;height:2in;margin-top:0;margin-left:0;mso-height-relative:page;mso-position-horizontal:center;mso-position-horizontal-relative:margin;mso-width-relative:page;mso-wrap-style:none;position:absolute;z-index:251658240" filled="f" stroked="f" strokeweight="0.5pt">
          <v:textbox style="mso-fit-shape-to-text:t" inset="0,0,0,0">
            <w:txbxContent>
              <w:p w:rsidR="00A95256">
                <w:pPr>
                  <w:pStyle w:val="Footer"/>
                </w:pPr>
                <w:r>
                  <w:rPr>
                    <w:rFonts w:hint="eastAsia"/>
                  </w:rPr>
                  <w:fldChar w:fldCharType="begin"/>
                </w:r>
                <w:r>
                  <w:rPr>
                    <w:rFonts w:hint="eastAsia"/>
                  </w:rPr>
                  <w:instrText xml:space="preserve"> PAGE  \* MERGEFORMAT </w:instrText>
                </w:r>
                <w:r>
                  <w:rPr>
                    <w:rFonts w:hint="eastAsia"/>
                  </w:rPr>
                  <w:fldChar w:fldCharType="separate"/>
                </w:r>
                <w:r w:rsidR="0055365C">
                  <w:rPr>
                    <w:noProof/>
                  </w:rPr>
                  <w:t>1</w:t>
                </w:r>
                <w:r>
                  <w:rPr>
                    <w:rFonts w:hint="eastAsia"/>
                  </w:rPr>
                  <w:fldChar w:fldCharType="end"/>
                </w:r>
              </w:p>
            </w:txbxContent>
          </v:textbox>
          <w10:wrap anchorx="margin"/>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Footer"/>
    </w:pPr>
    <w:r>
      <w:pict>
        <v:shapetype id="_x0000_t202" coordsize="21600,21600" o:spt="202" path="m,l,21600r21600,l21600,xe">
          <v:stroke joinstyle="miter"/>
          <v:path gradientshapeok="t" o:connecttype="rect"/>
        </v:shapetype>
        <v:shape id="文本框 14" o:spid="_x0000_s2050" type="#_x0000_t202" style="width:2in;height:2in;margin-top:0;margin-left:0;mso-height-relative:page;mso-position-horizontal:center;mso-position-horizontal-relative:margin;mso-width-relative:page;mso-wrap-style:none;position:absolute;z-index:251659264" filled="f" stroked="f" strokeweight="0.5pt">
          <v:textbox style="mso-fit-shape-to-text:t" inset="0,0,0,0">
            <w:txbxContent>
              <w:p w:rsidR="00A95256">
                <w:pPr>
                  <w:pStyle w:val="Footer"/>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w10:wrap anchorx="margin"/>
        </v:shape>
      </w:pic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Header"/>
      <w:pBdr>
        <w:bottom w:val="single" w:sz="6" w:space="1" w:color="F8F8F8"/>
      </w:pBdr>
    </w:pPr>
    <w:r>
      <w:rPr>
        <w:rFonts w:hint="eastAsia"/>
        <w:noProof/>
      </w:rPr>
      <w:drawing>
        <wp:inline distT="0" distB="0" distL="114300" distR="114300">
          <wp:extent cx="6560185" cy="431165"/>
          <wp:effectExtent l="0" t="0" r="12065" b="6985"/>
          <wp:docPr id="1" name="图片 1" descr="页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481999" name="图片 1" descr="页眉"/>
                  <pic:cNvPicPr>
                    <a:picLocks noChangeAspect="1"/>
                  </pic:cNvPicPr>
                </pic:nvPicPr>
                <pic:blipFill>
                  <a:blip xmlns:r="http://schemas.openxmlformats.org/officeDocument/2006/relationships" r:embed="rId1"/>
                  <a:srcRect b="1594"/>
                  <a:stretch>
                    <a:fillRect/>
                  </a:stretch>
                </pic:blipFill>
                <pic:spPr>
                  <a:xfrm>
                    <a:off x="0" y="0"/>
                    <a:ext cx="6560185" cy="43116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A95256">
    <w:pPr>
      <w:pStyle w:val="Header"/>
      <w:pBdr>
        <w:bottom w:val="single" w:sz="6" w:space="1" w:color="F8F8F8"/>
      </w:pBdr>
    </w:pPr>
    <w:r>
      <w:rPr>
        <w:noProof/>
      </w:rPr>
      <w:drawing>
        <wp:inline distT="0" distB="0" distL="0" distR="0">
          <wp:extent cx="6571615" cy="774065"/>
          <wp:effectExtent l="0" t="0" r="635"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068917" name="图片 23"/>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6571615" cy="77406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298F"/>
    <w:rsid w:val="00366773"/>
    <w:rsid w:val="0048298F"/>
    <w:rsid w:val="0055365C"/>
    <w:rsid w:val="005D43A4"/>
    <w:rsid w:val="0061399E"/>
    <w:rsid w:val="0065347A"/>
    <w:rsid w:val="00A50C98"/>
    <w:rsid w:val="00A95256"/>
    <w:rsid w:val="00AB20C3"/>
    <w:rsid w:val="00C5153B"/>
    <w:rsid w:val="00C911DC"/>
    <w:rsid w:val="00CD02F4"/>
    <w:rsid w:val="12F7602D"/>
    <w:rsid w:val="1C744CBF"/>
    <w:rsid w:val="247F3A70"/>
    <w:rsid w:val="24E64719"/>
    <w:rsid w:val="26185D90"/>
    <w:rsid w:val="28D97940"/>
    <w:rsid w:val="2C144DE1"/>
    <w:rsid w:val="2D466457"/>
    <w:rsid w:val="2E797ACE"/>
    <w:rsid w:val="2E8B14AE"/>
    <w:rsid w:val="33910AAB"/>
    <w:rsid w:val="34C42121"/>
    <w:rsid w:val="35F63798"/>
    <w:rsid w:val="37284E0F"/>
    <w:rsid w:val="3EBD617F"/>
    <w:rsid w:val="40D048E5"/>
    <w:rsid w:val="42AD2B71"/>
    <w:rsid w:val="548E7A08"/>
    <w:rsid w:val="6E45347A"/>
    <w:rsid w:val="75733B41"/>
    <w:rsid w:val="78271E31"/>
    <w:rsid w:val="78A371FC"/>
    <w:rsid w:val="7DBD5C5A"/>
    <w:rsid w:val="7E0D464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rPr>
      <w:rFonts w:ascii="Calibri" w:eastAsia="宋体" w:hAnsi="Calibri" w:cs="Times New Roman"/>
      <w:kern w:val="2"/>
      <w:sz w:val="21"/>
      <w:szCs w:val="24"/>
    </w:rPr>
  </w:style>
  <w:style w:type="paragraph" w:styleId="Heading2">
    <w:name w:val="heading 2"/>
    <w:basedOn w:val="Normal"/>
    <w:next w:val="Normal"/>
    <w:link w:val="2Char"/>
    <w:unhideWhenUsed/>
    <w:qFormat/>
    <w:pPr>
      <w:keepNext/>
      <w:keepLines/>
      <w:spacing w:before="260" w:after="260" w:line="413" w:lineRule="auto"/>
      <w:outlineLvl w:val="1"/>
    </w:pPr>
    <w:rPr>
      <w:rFonts w:ascii="Arial" w:eastAsia="黑体" w:hAnsi="Arial"/>
      <w:b/>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Char"/>
    <w:rPr>
      <w:sz w:val="18"/>
      <w:szCs w:val="18"/>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character" w:customStyle="1" w:styleId="2Char">
    <w:name w:val="标题 2 Char"/>
    <w:link w:val="Heading2"/>
    <w:qFormat/>
    <w:rPr>
      <w:rFonts w:ascii="Arial" w:eastAsia="黑体" w:hAnsi="Arial"/>
      <w:b/>
      <w:sz w:val="32"/>
    </w:rPr>
  </w:style>
  <w:style w:type="character" w:customStyle="1" w:styleId="Char">
    <w:name w:val="批注框文本 Char"/>
    <w:basedOn w:val="DefaultParagraphFont"/>
    <w:link w:val="BalloonText"/>
    <w:rPr>
      <w:rFonts w:ascii="Calibri" w:eastAsia="宋体" w:hAnsi="Calibri"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2.xml" /><Relationship Id="rId11" Type="http://schemas.openxmlformats.org/officeDocument/2006/relationships/header" Target="header3.xml" /><Relationship Id="rId12" Type="http://schemas.openxmlformats.org/officeDocument/2006/relationships/footer" Target="footer3.xml" /><Relationship Id="rId13" Type="http://schemas.openxmlformats.org/officeDocument/2006/relationships/image" Target="media/image5.jpeg" /><Relationship Id="rId14" Type="http://schemas.openxmlformats.org/officeDocument/2006/relationships/chart" Target="charts/chart1.xml" /><Relationship Id="rId15" Type="http://schemas.openxmlformats.org/officeDocument/2006/relationships/chart" Target="charts/chart2.xml" /><Relationship Id="rId16" Type="http://schemas.openxmlformats.org/officeDocument/2006/relationships/chart" Target="charts/chart3.xml" /><Relationship Id="rId17" Type="http://schemas.openxmlformats.org/officeDocument/2006/relationships/chart" Target="charts/chart4.xml" /><Relationship Id="rId18" Type="http://schemas.openxmlformats.org/officeDocument/2006/relationships/chart" Target="charts/chart5.xml" /><Relationship Id="rId19" Type="http://schemas.openxmlformats.org/officeDocument/2006/relationships/chart" Target="charts/chart6.xml" /><Relationship Id="rId2" Type="http://schemas.openxmlformats.org/officeDocument/2006/relationships/webSettings" Target="webSettings.xml" /><Relationship Id="rId20" Type="http://schemas.openxmlformats.org/officeDocument/2006/relationships/chart" Target="charts/chart7.xml" /><Relationship Id="rId21" Type="http://schemas.openxmlformats.org/officeDocument/2006/relationships/chart" Target="charts/chart8.xml" /><Relationship Id="rId22" Type="http://schemas.openxmlformats.org/officeDocument/2006/relationships/chart" Target="charts/chart9.xml" /><Relationship Id="rId23" Type="http://schemas.openxmlformats.org/officeDocument/2006/relationships/chart" Target="charts/chart10.xml" /><Relationship Id="rId24" Type="http://schemas.openxmlformats.org/officeDocument/2006/relationships/chart" Target="charts/chart11.xml" /><Relationship Id="rId25" Type="http://schemas.openxmlformats.org/officeDocument/2006/relationships/chart" Target="charts/chart12.xml" /><Relationship Id="rId26" Type="http://schemas.openxmlformats.org/officeDocument/2006/relationships/chart" Target="charts/chart13.xml" /><Relationship Id="rId27" Type="http://schemas.openxmlformats.org/officeDocument/2006/relationships/chart" Target="charts/chart14.xml" /><Relationship Id="rId28" Type="http://schemas.openxmlformats.org/officeDocument/2006/relationships/chart" Target="charts/chart15.xml" /><Relationship Id="rId29" Type="http://schemas.openxmlformats.org/officeDocument/2006/relationships/chart" Target="charts/chart16.xml" /><Relationship Id="rId3" Type="http://schemas.openxmlformats.org/officeDocument/2006/relationships/fontTable" Target="fontTable.xml" /><Relationship Id="rId30" Type="http://schemas.openxmlformats.org/officeDocument/2006/relationships/chart" Target="charts/chart17.xml" /><Relationship Id="rId31" Type="http://schemas.openxmlformats.org/officeDocument/2006/relationships/chart" Target="charts/chart18.xml" /><Relationship Id="rId32" Type="http://schemas.openxmlformats.org/officeDocument/2006/relationships/chart" Target="charts/chart19.xml" /><Relationship Id="rId33" Type="http://schemas.openxmlformats.org/officeDocument/2006/relationships/chart" Target="charts/chart20.xml" /><Relationship Id="rId34" Type="http://schemas.openxmlformats.org/officeDocument/2006/relationships/chart" Target="charts/chart21.xml" /><Relationship Id="rId35" Type="http://schemas.openxmlformats.org/officeDocument/2006/relationships/chart" Target="charts/chart22.xml" /><Relationship Id="rId36" Type="http://schemas.openxmlformats.org/officeDocument/2006/relationships/chart" Target="charts/chart23.xml" /><Relationship Id="rId37" Type="http://schemas.openxmlformats.org/officeDocument/2006/relationships/chart" Target="charts/chart24.xml" /><Relationship Id="rId38" Type="http://schemas.openxmlformats.org/officeDocument/2006/relationships/chart" Target="charts/chart25.xml" /><Relationship Id="rId39" Type="http://schemas.openxmlformats.org/officeDocument/2006/relationships/chart" Target="charts/chart26.xml" /><Relationship Id="rId4" Type="http://schemas.openxmlformats.org/officeDocument/2006/relationships/customXml" Target="../customXml/item1.xml" /><Relationship Id="rId40" Type="http://schemas.openxmlformats.org/officeDocument/2006/relationships/chart" Target="charts/chart27.xml" /><Relationship Id="rId41" Type="http://schemas.openxmlformats.org/officeDocument/2006/relationships/chart" Target="charts/chart28.xml" /><Relationship Id="rId42" Type="http://schemas.openxmlformats.org/officeDocument/2006/relationships/chart" Target="charts/chart29.xml" /><Relationship Id="rId43" Type="http://schemas.openxmlformats.org/officeDocument/2006/relationships/chart" Target="charts/chart30.xml" /><Relationship Id="rId44" Type="http://schemas.openxmlformats.org/officeDocument/2006/relationships/chart" Target="charts/chart31.xml" /><Relationship Id="rId45" Type="http://schemas.openxmlformats.org/officeDocument/2006/relationships/chart" Target="charts/chart32.xml" /><Relationship Id="rId46" Type="http://schemas.openxmlformats.org/officeDocument/2006/relationships/chart" Target="charts/chart33.xml" /><Relationship Id="rId47" Type="http://schemas.openxmlformats.org/officeDocument/2006/relationships/chart" Target="charts/chart34.xml" /><Relationship Id="rId48" Type="http://schemas.openxmlformats.org/officeDocument/2006/relationships/chart" Target="charts/chart35.xml" /><Relationship Id="rId49" Type="http://schemas.openxmlformats.org/officeDocument/2006/relationships/chart" Target="charts/chart36.xml" /><Relationship Id="rId5" Type="http://schemas.openxmlformats.org/officeDocument/2006/relationships/image" Target="media/image1.png" /><Relationship Id="rId50" Type="http://schemas.openxmlformats.org/officeDocument/2006/relationships/chart" Target="charts/chart37.xml" /><Relationship Id="rId51" Type="http://schemas.openxmlformats.org/officeDocument/2006/relationships/chart" Target="charts/chart38.xml" /><Relationship Id="rId52" Type="http://schemas.openxmlformats.org/officeDocument/2006/relationships/chart" Target="charts/chart39.xml" /><Relationship Id="rId53" Type="http://schemas.openxmlformats.org/officeDocument/2006/relationships/chart" Target="charts/chart40.xml" /><Relationship Id="rId54" Type="http://schemas.openxmlformats.org/officeDocument/2006/relationships/chart" Target="charts/chart41.xml" /><Relationship Id="rId55" Type="http://schemas.openxmlformats.org/officeDocument/2006/relationships/chart" Target="charts/chart42.xml" /><Relationship Id="rId56" Type="http://schemas.openxmlformats.org/officeDocument/2006/relationships/chart" Target="charts/chart43.xml" /><Relationship Id="rId57" Type="http://schemas.openxmlformats.org/officeDocument/2006/relationships/chart" Target="charts/chart44.xml" /><Relationship Id="rId58" Type="http://schemas.openxmlformats.org/officeDocument/2006/relationships/chart" Target="charts/chart45.xml" /><Relationship Id="rId59" Type="http://schemas.openxmlformats.org/officeDocument/2006/relationships/chart" Target="charts/chart46.xml" /><Relationship Id="rId6" Type="http://schemas.openxmlformats.org/officeDocument/2006/relationships/image" Target="media/image2.png" /><Relationship Id="rId60" Type="http://schemas.openxmlformats.org/officeDocument/2006/relationships/chart" Target="charts/chart47.xml" /><Relationship Id="rId61" Type="http://schemas.openxmlformats.org/officeDocument/2006/relationships/chart" Target="charts/chart48.xml" /><Relationship Id="rId62" Type="http://schemas.openxmlformats.org/officeDocument/2006/relationships/chart" Target="charts/chart49.xml" /><Relationship Id="rId63" Type="http://schemas.openxmlformats.org/officeDocument/2006/relationships/chart" Target="charts/chart50.xml" /><Relationship Id="rId64" Type="http://schemas.openxmlformats.org/officeDocument/2006/relationships/chart" Target="charts/chart51.xml" /><Relationship Id="rId65" Type="http://schemas.openxmlformats.org/officeDocument/2006/relationships/chart" Target="charts/chart52.xml" /><Relationship Id="rId66" Type="http://schemas.openxmlformats.org/officeDocument/2006/relationships/chart" Target="charts/chart53.xml" /><Relationship Id="rId67" Type="http://schemas.openxmlformats.org/officeDocument/2006/relationships/chart" Target="charts/chart54.xml" /><Relationship Id="rId68" Type="http://schemas.openxmlformats.org/officeDocument/2006/relationships/chart" Target="charts/chart55.xml" /><Relationship Id="rId69" Type="http://schemas.openxmlformats.org/officeDocument/2006/relationships/chart" Target="charts/chart56.xml" /><Relationship Id="rId7" Type="http://schemas.openxmlformats.org/officeDocument/2006/relationships/header" Target="header1.xml" /><Relationship Id="rId70" Type="http://schemas.openxmlformats.org/officeDocument/2006/relationships/chart" Target="charts/chart57.xml" /><Relationship Id="rId71" Type="http://schemas.openxmlformats.org/officeDocument/2006/relationships/chart" Target="charts/chart58.xml" /><Relationship Id="rId72" Type="http://schemas.openxmlformats.org/officeDocument/2006/relationships/chart" Target="charts/chart59.xml" /><Relationship Id="rId73" Type="http://schemas.openxmlformats.org/officeDocument/2006/relationships/chart" Target="charts/chart60.xml" /><Relationship Id="rId74" Type="http://schemas.openxmlformats.org/officeDocument/2006/relationships/chart" Target="charts/chart61.xml" /><Relationship Id="rId75" Type="http://schemas.openxmlformats.org/officeDocument/2006/relationships/chart" Target="charts/chart62.xml" /><Relationship Id="rId76" Type="http://schemas.openxmlformats.org/officeDocument/2006/relationships/chart" Target="charts/chart63.xml" /><Relationship Id="rId77" Type="http://schemas.openxmlformats.org/officeDocument/2006/relationships/chart" Target="charts/chart64.xml" /><Relationship Id="rId78" Type="http://schemas.openxmlformats.org/officeDocument/2006/relationships/chart" Target="charts/chart65.xml" /><Relationship Id="rId79" Type="http://schemas.openxmlformats.org/officeDocument/2006/relationships/chart" Target="charts/chart66.xml" /><Relationship Id="rId8" Type="http://schemas.openxmlformats.org/officeDocument/2006/relationships/header" Target="header2.xml" /><Relationship Id="rId80" Type="http://schemas.openxmlformats.org/officeDocument/2006/relationships/image" Target="media/image6.jpeg" /><Relationship Id="rId81" Type="http://schemas.openxmlformats.org/officeDocument/2006/relationships/image" Target="media/image7.jpeg" /><Relationship Id="rId82" Type="http://schemas.openxmlformats.org/officeDocument/2006/relationships/image" Target="media/image8.jpeg" /><Relationship Id="rId83" Type="http://schemas.openxmlformats.org/officeDocument/2006/relationships/image" Target="media/image9.jpeg" /><Relationship Id="rId84" Type="http://schemas.openxmlformats.org/officeDocument/2006/relationships/image" Target="media/image10.jpeg" /><Relationship Id="rId85" Type="http://schemas.openxmlformats.org/officeDocument/2006/relationships/image" Target="media/image11.jpeg" /><Relationship Id="rId86" Type="http://schemas.openxmlformats.org/officeDocument/2006/relationships/image" Target="media/image12.jpeg" /><Relationship Id="rId87" Type="http://schemas.openxmlformats.org/officeDocument/2006/relationships/footer" Target="footer4.xml" /><Relationship Id="rId88" Type="http://schemas.openxmlformats.org/officeDocument/2006/relationships/footer" Target="footer5.xml" /><Relationship Id="rId89" Type="http://schemas.openxmlformats.org/officeDocument/2006/relationships/theme" Target="theme/theme1.xml" /><Relationship Id="rId9" Type="http://schemas.openxmlformats.org/officeDocument/2006/relationships/footer" Target="footer1.xml" /><Relationship Id="rId90" Type="http://schemas.openxmlformats.org/officeDocument/2006/relationships/styles" Target="styles.xml" /></Relationships>
</file>

<file path=word/_rels/header2.xml.rels>&#65279;<?xml version="1.0" encoding="utf-8" standalone="yes"?><Relationships xmlns="http://schemas.openxmlformats.org/package/2006/relationships"><Relationship Id="rId1" Type="http://schemas.openxmlformats.org/officeDocument/2006/relationships/image" Target="media/image3.jpeg" /></Relationships>
</file>

<file path=word/_rels/header3.xml.rels>&#65279;<?xml version="1.0" encoding="utf-8" standalone="yes"?><Relationships xmlns="http://schemas.openxmlformats.org/package/2006/relationships"><Relationship Id="rId1" Type="http://schemas.openxmlformats.org/officeDocument/2006/relationships/image" Target="media/image4.png" /></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151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151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25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149</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149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c:v>
              </c:pt>
            </c:strLit>
          </c:cat>
          <c:val>
            <c:numLit>
              <c:ptCount val="1"/>
              <c:pt idx="0" formatCode="General">
                <c:v>149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医药与护理学院2022级毕业实习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护理学(专升本)</c:v>
              </c:pt>
            </c:strLit>
          </c:cat>
          <c:val>
            <c:numLit>
              <c:ptCount val="1"/>
              <c:pt idx="0" formatCode="General">
                <c:v>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护理学(专升本)</c:v>
              </c:pt>
            </c:strLit>
          </c:cat>
          <c:val>
            <c:numLit>
              <c:ptCount val="1"/>
              <c:pt idx="0" formatCode="General">
                <c:v>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护理学(专升本)</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会计学</c:v>
              </c:pt>
              <c:pt idx="1">
                <c:v>国际经济与贸易</c:v>
              </c:pt>
              <c:pt idx="2">
                <c:v>市场营销</c:v>
              </c:pt>
              <c:pt idx="3">
                <c:v>工商管理</c:v>
              </c:pt>
            </c:strLit>
          </c:cat>
          <c:val>
            <c:numLit>
              <c:ptCount val="4"/>
              <c:pt idx="0" formatCode="General">
                <c:v>131</c:v>
              </c:pt>
              <c:pt idx="1" formatCode="General">
                <c:v>39</c:v>
              </c:pt>
              <c:pt idx="2" formatCode="General">
                <c:v>119</c:v>
              </c:pt>
              <c:pt idx="3" formatCode="General">
                <c:v>37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会计学</c:v>
              </c:pt>
              <c:pt idx="1">
                <c:v>国际经济与贸易</c:v>
              </c:pt>
              <c:pt idx="2">
                <c:v>市场营销</c:v>
              </c:pt>
              <c:pt idx="3">
                <c:v>工商管理</c:v>
              </c:pt>
            </c:strLit>
          </c:cat>
          <c:val>
            <c:numLit>
              <c:ptCount val="4"/>
              <c:pt idx="0" formatCode="General">
                <c:v>128</c:v>
              </c:pt>
              <c:pt idx="1" formatCode="General">
                <c:v>23</c:v>
              </c:pt>
              <c:pt idx="2" formatCode="General">
                <c:v>102</c:v>
              </c:pt>
              <c:pt idx="3" formatCode="General">
                <c:v>30</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会计学</c:v>
              </c:pt>
              <c:pt idx="1">
                <c:v>国际经济与贸易</c:v>
              </c:pt>
              <c:pt idx="2">
                <c:v>市场营销</c:v>
              </c:pt>
              <c:pt idx="3">
                <c:v>工商管理</c:v>
              </c:pt>
            </c:strLit>
          </c:cat>
          <c:val>
            <c:numLit>
              <c:ptCount val="4"/>
              <c:pt idx="0" formatCode="General">
                <c:v>0</c:v>
              </c:pt>
              <c:pt idx="1" formatCode="General">
                <c:v>0</c:v>
              </c:pt>
              <c:pt idx="2" formatCode="General">
                <c:v>0</c:v>
              </c:pt>
              <c:pt idx="3"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经济管理学院2020级其他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会计学</c:v>
              </c:pt>
            </c:strLit>
          </c:cat>
          <c:val>
            <c:numLit>
              <c:ptCount val="1"/>
              <c:pt idx="0" formatCode="General">
                <c:v>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61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61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93</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51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国际经济与贸易(中外合作专)</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市场营销</c:v>
              </c:pt>
              <c:pt idx="1">
                <c:v>工商管理</c:v>
              </c:pt>
            </c:strLit>
          </c:cat>
          <c:val>
            <c:numLit>
              <c:ptCount val="2"/>
              <c:pt idx="0" formatCode="General">
                <c:v>61</c:v>
              </c:pt>
              <c:pt idx="1" formatCode="General">
                <c:v>74</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市场营销</c:v>
              </c:pt>
              <c:pt idx="1">
                <c:v>工商管理</c:v>
              </c:pt>
            </c:strLit>
          </c:cat>
          <c:val>
            <c:numLit>
              <c:ptCount val="2"/>
              <c:pt idx="0" formatCode="General">
                <c:v>61</c:v>
              </c:pt>
              <c:pt idx="1" formatCode="General">
                <c:v>74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市场营销</c:v>
              </c:pt>
              <c:pt idx="1">
                <c:v>工商管理</c:v>
              </c:pt>
            </c:strLit>
          </c:cat>
          <c:val>
            <c:numLit>
              <c:ptCount val="2"/>
              <c:pt idx="0" formatCode="General">
                <c:v>0</c:v>
              </c:pt>
              <c:pt idx="1" formatCode="General">
                <c:v>74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经济管理学院2022级认识实习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60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54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市场营销</c:v>
              </c:pt>
            </c:strLit>
          </c:cat>
          <c:val>
            <c:numLit>
              <c:ptCount val="1"/>
              <c:pt idx="0" formatCode="General">
                <c:v>54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会计学</c:v>
              </c:pt>
              <c:pt idx="2">
                <c:v>市场营销(数字营销方向)</c:v>
              </c:pt>
            </c:strLit>
          </c:cat>
          <c:val>
            <c:numLit>
              <c:ptCount val="3"/>
              <c:pt idx="0" formatCode="General">
                <c:v>123</c:v>
              </c:pt>
              <c:pt idx="1" formatCode="General">
                <c:v>141</c:v>
              </c:pt>
              <c:pt idx="2" formatCode="General">
                <c:v>80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会计学</c:v>
              </c:pt>
              <c:pt idx="2">
                <c:v>市场营销(数字营销方向)</c:v>
              </c:pt>
            </c:strLit>
          </c:cat>
          <c:val>
            <c:numLit>
              <c:ptCount val="3"/>
              <c:pt idx="0" formatCode="General">
                <c:v>94</c:v>
              </c:pt>
              <c:pt idx="1" formatCode="General">
                <c:v>141</c:v>
              </c:pt>
              <c:pt idx="2" formatCode="General">
                <c:v>75</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会计学</c:v>
              </c:pt>
              <c:pt idx="2">
                <c:v>市场营销(数字营销方向)</c:v>
              </c:pt>
            </c:strLit>
          </c:cat>
          <c:val>
            <c:numLit>
              <c:ptCount val="3"/>
              <c:pt idx="0" formatCode="General">
                <c:v>94</c:v>
              </c:pt>
              <c:pt idx="1" formatCode="General">
                <c:v>141</c:v>
              </c:pt>
              <c:pt idx="2" formatCode="General">
                <c:v>40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经济管理学院2023级认识实习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80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79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79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47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生命科学学院2022级其他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生命科学学院2023级其他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118</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105</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化学化工学院2020级其他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144</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144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144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98</c:v>
              </c:pt>
              <c:pt idx="1" formatCode="General">
                <c:v>326</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98</c:v>
              </c:pt>
              <c:pt idx="1" formatCode="General">
                <c:v>310</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0</c:v>
              </c:pt>
              <c:pt idx="1"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72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72</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物联网工程</c:v>
              </c:pt>
            </c:strLit>
          </c:cat>
          <c:val>
            <c:numLit>
              <c:ptCount val="1"/>
              <c:pt idx="0" formatCode="General">
                <c:v>72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数学与大数据学院2020级毕业实习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数据科学与大数据技术</c:v>
              </c:pt>
            </c:strLit>
          </c:cat>
          <c:val>
            <c:numLit>
              <c:ptCount val="1"/>
              <c:pt idx="0" formatCode="General">
                <c:v>179</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数据科学与大数据技术</c:v>
              </c:pt>
            </c:strLit>
          </c:cat>
          <c:val>
            <c:numLit>
              <c:ptCount val="1"/>
              <c:pt idx="0" formatCode="General">
                <c:v>135</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数据科学与大数据技术</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外国语学院2020级毕业实习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29</c:v>
              </c:pt>
              <c:pt idx="1" formatCode="General">
                <c:v>37</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18</c:v>
              </c:pt>
              <c:pt idx="1" formatCode="General">
                <c:v>37</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0</c:v>
              </c:pt>
              <c:pt idx="1"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262</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261</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外国语学院2022级其他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119</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119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体育学院2021级其他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体育教育</c:v>
              </c:pt>
            </c:strLit>
          </c:cat>
          <c:val>
            <c:numLit>
              <c:ptCount val="1"/>
              <c:pt idx="0" formatCode="General">
                <c:v>198</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体育教育</c:v>
              </c:pt>
            </c:strLit>
          </c:cat>
          <c:val>
            <c:numLit>
              <c:ptCount val="1"/>
              <c:pt idx="0" formatCode="General">
                <c:v>196</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体育教育</c:v>
              </c:pt>
            </c:strLit>
          </c:cat>
          <c:val>
            <c:numLit>
              <c:ptCount val="1"/>
              <c:pt idx="0" formatCode="General">
                <c:v>196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马克思主义学院2022级专业实习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95</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94</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马克思主义学院2023级认识实习</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40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39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美术学院2023级其他</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计划人次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环境设计</c:v>
              </c:pt>
              <c:pt idx="1">
                <c:v>视觉传达设计</c:v>
              </c:pt>
            </c:strLit>
          </c:cat>
          <c:val>
            <c:numLit>
              <c:ptCount val="2"/>
              <c:pt idx="0" formatCode="General">
                <c:v>90</c:v>
              </c:pt>
              <c:pt idx="1" formatCode="General">
                <c:v>90</c:v>
              </c:pt>
            </c:numLit>
          </c:val>
        </c:ser>
        <c:ser>
          <c:idx val="1"/>
          <c:order val="1"/>
          <c:tx>
            <c:v>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环境设计</c:v>
              </c:pt>
              <c:pt idx="1">
                <c:v>视觉传达设计</c:v>
              </c:pt>
            </c:strLit>
          </c:cat>
          <c:val>
            <c:numLit>
              <c:ptCount val="2"/>
              <c:pt idx="0" formatCode="General">
                <c:v>87</c:v>
              </c:pt>
              <c:pt idx="1" formatCode="General">
                <c:v>89</c:v>
              </c:pt>
            </c:numLit>
          </c:val>
        </c:ser>
        <c:ser>
          <c:idx val="2"/>
          <c:order val="2"/>
          <c:tx>
            <c:v>集中实习人次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环境设计</c:v>
              </c:pt>
              <c:pt idx="1">
                <c:v>视觉传达设计</c:v>
              </c:pt>
            </c:strLit>
          </c:cat>
          <c:val>
            <c:numLit>
              <c:ptCount val="2"/>
              <c:pt idx="0" formatCode="General">
                <c:v>87</c:v>
              </c:pt>
              <c:pt idx="1" formatCode="General">
                <c:v>89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会计学</c:v>
              </c:pt>
              <c:pt idx="1">
                <c:v>国际经济与贸易</c:v>
              </c:pt>
              <c:pt idx="2">
                <c:v>市场营销</c:v>
              </c:pt>
              <c:pt idx="3">
                <c:v>工商管理</c:v>
              </c:pt>
            </c:strLit>
          </c:cat>
          <c:val>
            <c:numLit>
              <c:ptCount val="4"/>
              <c:pt idx="0" formatCode="General">
                <c:v>129</c:v>
              </c:pt>
              <c:pt idx="1" formatCode="General">
                <c:v>23</c:v>
              </c:pt>
              <c:pt idx="2" formatCode="General">
                <c:v>102</c:v>
              </c:pt>
              <c:pt idx="3" formatCode="General">
                <c:v>30</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会计学</c:v>
              </c:pt>
              <c:pt idx="1">
                <c:v>国际经济与贸易</c:v>
              </c:pt>
              <c:pt idx="2">
                <c:v>市场营销</c:v>
              </c:pt>
              <c:pt idx="3">
                <c:v>工商管理</c:v>
              </c:pt>
            </c:strLit>
          </c:cat>
          <c:val>
            <c:numLit>
              <c:ptCount val="4"/>
              <c:pt idx="0" formatCode="General">
                <c:v>0</c:v>
              </c:pt>
              <c:pt idx="1" formatCode="General">
                <c:v>0</c:v>
              </c:pt>
              <c:pt idx="2" formatCode="General">
                <c:v>0</c:v>
              </c:pt>
              <c:pt idx="3"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51</c:v>
              </c:pt>
              <c:pt idx="1" formatCode="General">
                <c:v>122</c:v>
              </c:pt>
              <c:pt idx="2" formatCode="General">
                <c:v>74</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0</c:v>
              </c:pt>
              <c:pt idx="1" formatCode="General">
                <c:v>117</c:v>
              </c:pt>
              <c:pt idx="2" formatCode="General">
                <c:v>74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国际经济与贸易(中外合作专)</c:v>
              </c:pt>
              <c:pt idx="1">
                <c:v>会计学</c:v>
              </c:pt>
              <c:pt idx="2">
                <c:v>市场营销</c:v>
              </c:pt>
              <c:pt idx="3">
                <c:v>市场营销(数字营销方向)</c:v>
              </c:pt>
            </c:strLit>
          </c:cat>
          <c:val>
            <c:numLit>
              <c:ptCount val="4"/>
              <c:pt idx="0" formatCode="General">
                <c:v>94</c:v>
              </c:pt>
              <c:pt idx="1" formatCode="General">
                <c:v>141</c:v>
              </c:pt>
              <c:pt idx="2" formatCode="General">
                <c:v>54</c:v>
              </c:pt>
              <c:pt idx="3" formatCode="General">
                <c:v>75</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国际经济与贸易(中外合作专)</c:v>
              </c:pt>
              <c:pt idx="1">
                <c:v>会计学</c:v>
              </c:pt>
              <c:pt idx="2">
                <c:v>市场营销</c:v>
              </c:pt>
              <c:pt idx="3">
                <c:v>市场营销(数字营销方向)</c:v>
              </c:pt>
            </c:strLit>
          </c:cat>
          <c:val>
            <c:numLit>
              <c:ptCount val="4"/>
              <c:pt idx="0" formatCode="General">
                <c:v>85</c:v>
              </c:pt>
              <c:pt idx="1" formatCode="General">
                <c:v>138</c:v>
              </c:pt>
              <c:pt idx="2" formatCode="General">
                <c:v>0</c:v>
              </c:pt>
              <c:pt idx="3" formatCode="General">
                <c:v>59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经济管理学院2023级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79</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79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能源与机械学院2020级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1</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能源与动力工程</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102</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86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生命科学学院2023级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105</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生物科学</c:v>
              </c:pt>
            </c:strLit>
          </c:cat>
          <c:val>
            <c:numLit>
              <c:ptCount val="1"/>
              <c:pt idx="0" formatCode="General">
                <c:v>2</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化学化工学院2020级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144</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78</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98</c:v>
              </c:pt>
              <c:pt idx="1" formatCode="General">
                <c:v>382</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0</c:v>
              </c:pt>
              <c:pt idx="1" formatCode="General">
                <c:v>294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76</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数学与大数据学院2020级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数据科学与大数据技术</c:v>
              </c:pt>
            </c:strLit>
          </c:cat>
          <c:val>
            <c:numLit>
              <c:ptCount val="1"/>
              <c:pt idx="0" formatCode="General">
                <c:v>135</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数据科学与大数据技术</c:v>
              </c:pt>
            </c:strLit>
          </c:cat>
          <c:val>
            <c:numLit>
              <c:ptCount val="1"/>
              <c:pt idx="0"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18</c:v>
              </c:pt>
              <c:pt idx="1" formatCode="General">
                <c:v>37</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c:v>
              </c:pt>
              <c:pt idx="1">
                <c:v>俄语</c:v>
              </c:pt>
            </c:strLit>
          </c:cat>
          <c:val>
            <c:numLit>
              <c:ptCount val="2"/>
              <c:pt idx="0" formatCode="General">
                <c:v>0</c:v>
              </c:pt>
              <c:pt idx="1" formatCode="General">
                <c:v>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261</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250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119</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64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94</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马克思主义学院2023级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实习参与人次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39</c:v>
              </c:pt>
            </c:numLit>
          </c:val>
        </c:ser>
        <c:ser>
          <c:idx val="1"/>
          <c:order val="1"/>
          <c:tx>
            <c:v>提交报告人次</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护理学(月志)</c:v>
              </c:pt>
            </c:strLit>
          </c:cat>
          <c:val>
            <c:numLit>
              <c:ptCount val="1"/>
              <c:pt idx="0" formatCode="General">
                <c:v>1017</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护理学(月志)</c:v>
              </c:pt>
            </c:strLit>
          </c:cat>
          <c:val>
            <c:numLit>
              <c:ptCount val="1"/>
              <c:pt idx="0" formatCode="General">
                <c:v>1193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医药与护理学院2021级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护理学(周志)</c:v>
              </c:pt>
            </c:strLit>
          </c:cat>
          <c:val>
            <c:numLit>
              <c:ptCount val="1"/>
              <c:pt idx="0" formatCode="General">
                <c:v>107</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护理学(周志)</c:v>
              </c:pt>
            </c:strLit>
          </c:cat>
          <c:val>
            <c:numLit>
              <c:ptCount val="1"/>
              <c:pt idx="0" formatCode="General">
                <c:v>396</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
              <c:idx val="4"/>
              <c:showLegendKey val="0"/>
              <c:showVal val="1"/>
              <c:showCatName val="0"/>
              <c:showSerName val="0"/>
              <c:showPercent val="0"/>
              <c:showDataLabelsRange val="0"/>
              <c:separator>----</c:separator>
              <c:showLeaderLines val="0"/>
            </c:dLbl>
            <c:dLbl>
              <c:idx val="5"/>
              <c:showLegendKey val="0"/>
              <c:showVal val="1"/>
              <c:showCatName val="0"/>
              <c:showSerName val="0"/>
              <c:showPercent val="0"/>
              <c:showDataLabelsRange val="0"/>
              <c:separator>----</c:separator>
              <c:showLeaderLines val="0"/>
            </c:dLbl>
          </c:dLbls>
          <c:cat>
            <c:strLit>
              <c:ptCount val="6"/>
              <c:pt idx="0">
                <c:v>会计学(周志)</c:v>
              </c:pt>
              <c:pt idx="1">
                <c:v>国际经济与贸易(周志)</c:v>
              </c:pt>
              <c:pt idx="2">
                <c:v>市场营销(周志)</c:v>
              </c:pt>
              <c:pt idx="3">
                <c:v>工商管理(日志)</c:v>
              </c:pt>
              <c:pt idx="4">
                <c:v>工商管理(周志)</c:v>
              </c:pt>
              <c:pt idx="5">
                <c:v>工商管理(月志)</c:v>
              </c:pt>
            </c:strLit>
          </c:cat>
          <c:val>
            <c:numLit>
              <c:ptCount val="6"/>
              <c:pt idx="0" formatCode="General">
                <c:v>185</c:v>
              </c:pt>
              <c:pt idx="1" formatCode="General">
                <c:v>1</c:v>
              </c:pt>
              <c:pt idx="2" formatCode="General">
                <c:v>13</c:v>
              </c:pt>
              <c:pt idx="3" formatCode="General">
                <c:v>0</c:v>
              </c:pt>
              <c:pt idx="4" formatCode="General">
                <c:v>16</c:v>
              </c:pt>
              <c:pt idx="5" formatCode="General">
                <c:v>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
              <c:idx val="4"/>
              <c:showLegendKey val="0"/>
              <c:showVal val="1"/>
              <c:showCatName val="0"/>
              <c:showSerName val="0"/>
              <c:showPercent val="0"/>
              <c:showDataLabelsRange val="0"/>
              <c:separator>----</c:separator>
              <c:showLeaderLines val="0"/>
            </c:dLbl>
            <c:dLbl>
              <c:idx val="5"/>
              <c:showLegendKey val="0"/>
              <c:showVal val="1"/>
              <c:showCatName val="0"/>
              <c:showSerName val="0"/>
              <c:showPercent val="0"/>
              <c:showDataLabelsRange val="0"/>
              <c:separator>----</c:separator>
              <c:showLeaderLines val="0"/>
            </c:dLbl>
          </c:dLbls>
          <c:cat>
            <c:strLit>
              <c:ptCount val="6"/>
              <c:pt idx="0">
                <c:v>会计学(周志)</c:v>
              </c:pt>
              <c:pt idx="1">
                <c:v>国际经济与贸易(周志)</c:v>
              </c:pt>
              <c:pt idx="2">
                <c:v>市场营销(周志)</c:v>
              </c:pt>
              <c:pt idx="3">
                <c:v>工商管理(日志)</c:v>
              </c:pt>
              <c:pt idx="4">
                <c:v>工商管理(周志)</c:v>
              </c:pt>
              <c:pt idx="5">
                <c:v>工商管理(月志)</c:v>
              </c:pt>
            </c:strLit>
          </c:cat>
          <c:val>
            <c:numLit>
              <c:ptCount val="6"/>
              <c:pt idx="0" formatCode="General">
                <c:v>292</c:v>
              </c:pt>
              <c:pt idx="1" formatCode="General">
                <c:v>22</c:v>
              </c:pt>
              <c:pt idx="2" formatCode="General">
                <c:v>133</c:v>
              </c:pt>
              <c:pt idx="3" formatCode="General">
                <c:v>5</c:v>
              </c:pt>
              <c:pt idx="4" formatCode="General">
                <c:v>40</c:v>
              </c:pt>
              <c:pt idx="5" formatCode="General">
                <c:v>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国际经济与贸易(中外合作专)(周志)</c:v>
              </c:pt>
              <c:pt idx="1">
                <c:v>工商管理(周志)</c:v>
              </c:pt>
            </c:strLit>
          </c:cat>
          <c:val>
            <c:numLit>
              <c:ptCount val="2"/>
              <c:pt idx="0" formatCode="General">
                <c:v>47</c:v>
              </c:pt>
              <c:pt idx="1" formatCode="General">
                <c:v>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国际经济与贸易(中外合作专)(周志)</c:v>
              </c:pt>
              <c:pt idx="1">
                <c:v>工商管理(周志)</c:v>
              </c:pt>
            </c:strLit>
          </c:cat>
          <c:val>
            <c:numLit>
              <c:ptCount val="2"/>
              <c:pt idx="0" formatCode="General">
                <c:v>76</c:v>
              </c:pt>
              <c:pt idx="1" formatCode="General">
                <c:v>75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国际经济与贸易(中外合作专)(周志)</c:v>
              </c:pt>
              <c:pt idx="1">
                <c:v>会计学(周志)</c:v>
              </c:pt>
              <c:pt idx="2">
                <c:v>市场营销(数字营销方向)(日志)</c:v>
              </c:pt>
            </c:strLit>
          </c:cat>
          <c:val>
            <c:numLit>
              <c:ptCount val="3"/>
              <c:pt idx="0" formatCode="General">
                <c:v>83</c:v>
              </c:pt>
              <c:pt idx="1" formatCode="General">
                <c:v>138</c:v>
              </c:pt>
              <c:pt idx="2" formatCode="General">
                <c:v>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国际经济与贸易(中外合作专)(周志)</c:v>
              </c:pt>
              <c:pt idx="1">
                <c:v>会计学(周志)</c:v>
              </c:pt>
              <c:pt idx="2">
                <c:v>市场营销(数字营销方向)(日志)</c:v>
              </c:pt>
            </c:strLit>
          </c:cat>
          <c:val>
            <c:numLit>
              <c:ptCount val="3"/>
              <c:pt idx="0" formatCode="General">
                <c:v>89</c:v>
              </c:pt>
              <c:pt idx="1" formatCode="General">
                <c:v>283</c:v>
              </c:pt>
              <c:pt idx="2" formatCode="General">
                <c:v>144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经济管理学院2023级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工商管理(商业管理方向)(周志)</c:v>
              </c:pt>
            </c:strLit>
          </c:cat>
          <c:val>
            <c:numLit>
              <c:ptCount val="1"/>
              <c:pt idx="0" formatCode="General">
                <c:v>3</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工商管理(商业管理方向)(周志)</c:v>
              </c:pt>
            </c:strLit>
          </c:cat>
          <c:val>
            <c:numLit>
              <c:ptCount val="1"/>
              <c:pt idx="0" formatCode="General">
                <c:v>19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化学化工学院2020级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环境工程(周志)</c:v>
              </c:pt>
            </c:strLit>
          </c:cat>
          <c:val>
            <c:numLit>
              <c:ptCount val="1"/>
              <c:pt idx="0" formatCode="General">
                <c:v>27</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环境工程(周志)</c:v>
              </c:pt>
            </c:strLit>
          </c:cat>
          <c:val>
            <c:numLit>
              <c:ptCount val="1"/>
              <c:pt idx="0" formatCode="General">
                <c:v>84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电子信息工程(周志)</c:v>
              </c:pt>
              <c:pt idx="1">
                <c:v>物联网工程(周志)</c:v>
              </c:pt>
            </c:strLit>
          </c:cat>
          <c:val>
            <c:numLit>
              <c:ptCount val="2"/>
              <c:pt idx="0" formatCode="General">
                <c:v>208</c:v>
              </c:pt>
              <c:pt idx="1" formatCode="General">
                <c:v>0</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电子信息工程(周志)</c:v>
              </c:pt>
              <c:pt idx="1">
                <c:v>物联网工程(周志)</c:v>
              </c:pt>
            </c:strLit>
          </c:cat>
          <c:val>
            <c:numLit>
              <c:ptCount val="2"/>
              <c:pt idx="0" formatCode="General">
                <c:v>318</c:v>
              </c:pt>
              <c:pt idx="1" formatCode="General">
                <c:v>684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物理学(日志)</c:v>
              </c:pt>
            </c:strLit>
          </c:cat>
          <c:val>
            <c:numLit>
              <c:ptCount val="1"/>
              <c:pt idx="0" formatCode="General">
                <c:v>436</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物理学(日志)</c:v>
              </c:pt>
            </c:strLit>
          </c:cat>
          <c:val>
            <c:numLit>
              <c:ptCount val="1"/>
              <c:pt idx="0" formatCode="General">
                <c:v>610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商务英语(周志)</c:v>
              </c:pt>
              <c:pt idx="1">
                <c:v>俄语(周志)</c:v>
              </c:pt>
            </c:strLit>
          </c:cat>
          <c:val>
            <c:numLit>
              <c:ptCount val="2"/>
              <c:pt idx="0" formatCode="General">
                <c:v>14</c:v>
              </c:pt>
              <c:pt idx="1" formatCode="General">
                <c:v>15</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商务英语(周志)</c:v>
              </c:pt>
              <c:pt idx="1">
                <c:v>俄语(周志)</c:v>
              </c:pt>
            </c:strLit>
          </c:cat>
          <c:val>
            <c:numLit>
              <c:ptCount val="2"/>
              <c:pt idx="0" formatCode="General">
                <c:v>25</c:v>
              </c:pt>
              <c:pt idx="1" formatCode="General">
                <c:v>18</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英语(师范类)(周志)</c:v>
              </c:pt>
              <c:pt idx="1">
                <c:v>英语(师范类)(月志)</c:v>
              </c:pt>
            </c:strLit>
          </c:cat>
          <c:val>
            <c:numLit>
              <c:ptCount val="2"/>
              <c:pt idx="0" formatCode="General">
                <c:v>219</c:v>
              </c:pt>
              <c:pt idx="1" formatCode="General">
                <c:v>437</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英语(师范类)(周志)</c:v>
              </c:pt>
              <c:pt idx="1">
                <c:v>英语(师范类)(月志)</c:v>
              </c:pt>
            </c:strLit>
          </c:cat>
          <c:val>
            <c:numLit>
              <c:ptCount val="2"/>
              <c:pt idx="0" formatCode="General">
                <c:v>247</c:v>
              </c:pt>
              <c:pt idx="1" formatCode="General">
                <c:v>495</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体育学院2021级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体育教育(周志)</c:v>
              </c:pt>
            </c:strLit>
          </c:cat>
          <c:val>
            <c:numLit>
              <c:ptCount val="1"/>
              <c:pt idx="0" formatCode="General">
                <c:v>59</c:v>
              </c:pt>
            </c:numLit>
          </c:val>
        </c:ser>
        <c:ser>
          <c:idx val="1"/>
          <c:order val="1"/>
          <c:tx>
            <c:v>日志/周志/月志</c:v>
          </c:tx>
          <c:invertIfNegative val="0"/>
          <c:dLbls>
            <c:dLbl>
              <c:idx val="0"/>
              <c:showLegendKey val="0"/>
              <c:showVal val="1"/>
              <c:showCatName val="0"/>
              <c:showSerName val="0"/>
              <c:showPercent val="0"/>
              <c:showDataLabelsRange val="0"/>
              <c:separator>----</c:separator>
              <c:showLeaderLines val="0"/>
            </c:dLbl>
          </c:dLbls>
          <c:cat>
            <c:strLit>
              <c:ptCount val="1"/>
              <c:pt idx="0">
                <c:v>体育教育(周志)</c:v>
              </c:pt>
            </c:strLit>
          </c:cat>
          <c:val>
            <c:numLit>
              <c:ptCount val="1"/>
              <c:pt idx="0" formatCode="General">
                <c:v>101</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0</c:v>
              </c:pt>
              <c:pt idx="1" formatCode="General">
                <c:v>63</c:v>
              </c:pt>
              <c:pt idx="2" formatCode="General">
                <c:v>74</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s>
          <c:cat>
            <c:strLit>
              <c:ptCount val="3"/>
              <c:pt idx="0">
                <c:v>国际经济与贸易(中外合作专)</c:v>
              </c:pt>
              <c:pt idx="1">
                <c:v>市场营销</c:v>
              </c:pt>
              <c:pt idx="2">
                <c:v>工商管理</c:v>
              </c:pt>
            </c:strLit>
          </c:cat>
          <c:val>
            <c:numLit>
              <c:ptCount val="3"/>
              <c:pt idx="0" formatCode="General">
                <c:v>0</c:v>
              </c:pt>
              <c:pt idx="1" formatCode="General">
                <c:v>117</c:v>
              </c:pt>
              <c:pt idx="2" formatCode="General">
                <c:v>74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国际经济与贸易(中外合作专)</c:v>
              </c:pt>
              <c:pt idx="1">
                <c:v>会计学</c:v>
              </c:pt>
              <c:pt idx="2">
                <c:v>市场营销</c:v>
              </c:pt>
              <c:pt idx="3">
                <c:v>市场营销(数字营销方向)</c:v>
              </c:pt>
            </c:strLit>
          </c:cat>
          <c:val>
            <c:numLit>
              <c:ptCount val="4"/>
              <c:pt idx="0" formatCode="General">
                <c:v>0</c:v>
              </c:pt>
              <c:pt idx="1" formatCode="General">
                <c:v>14</c:v>
              </c:pt>
              <c:pt idx="2" formatCode="General">
                <c:v>0</c:v>
              </c:pt>
              <c:pt idx="3" formatCode="General">
                <c:v>0</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
              <c:idx val="2"/>
              <c:showLegendKey val="0"/>
              <c:showVal val="1"/>
              <c:showCatName val="0"/>
              <c:showSerName val="0"/>
              <c:showPercent val="0"/>
              <c:showDataLabelsRange val="0"/>
              <c:separator>----</c:separator>
              <c:showLeaderLines val="0"/>
            </c:dLbl>
            <c:dLbl>
              <c:idx val="3"/>
              <c:showLegendKey val="0"/>
              <c:showVal val="1"/>
              <c:showCatName val="0"/>
              <c:showSerName val="0"/>
              <c:showPercent val="0"/>
              <c:showDataLabelsRange val="0"/>
              <c:separator>----</c:separator>
              <c:showLeaderLines val="0"/>
            </c:dLbl>
          </c:dLbls>
          <c:cat>
            <c:strLit>
              <c:ptCount val="4"/>
              <c:pt idx="0">
                <c:v>国际经济与贸易(中外合作专)</c:v>
              </c:pt>
              <c:pt idx="1">
                <c:v>会计学</c:v>
              </c:pt>
              <c:pt idx="2">
                <c:v>市场营销</c:v>
              </c:pt>
              <c:pt idx="3">
                <c:v>市场营销(数字营销方向)</c:v>
              </c:pt>
            </c:strLit>
          </c:cat>
          <c:val>
            <c:numLit>
              <c:ptCount val="4"/>
              <c:pt idx="0" formatCode="General">
                <c:v>85</c:v>
              </c:pt>
              <c:pt idx="1" formatCode="General">
                <c:v>138</c:v>
              </c:pt>
              <c:pt idx="2" formatCode="General">
                <c:v>0</c:v>
              </c:pt>
              <c:pt idx="3" formatCode="General">
                <c:v>59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经济管理学院2023级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79</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工商管理(商业管理方向)</c:v>
              </c:pt>
            </c:strLit>
          </c:cat>
          <c:val>
            <c:numLit>
              <c:ptCount val="1"/>
              <c:pt idx="0" formatCode="General">
                <c:v>79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化学化工学院2020级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21</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环境工程</c:v>
              </c:pt>
            </c:strLit>
          </c:cat>
          <c:val>
            <c:numLit>
              <c:ptCount val="1"/>
              <c:pt idx="0" formatCode="General">
                <c:v>78</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物理与电子信息学院2020级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0</c:v>
              </c:pt>
              <c:pt idx="1" formatCode="General">
                <c:v>0</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
              <c:idx val="1"/>
              <c:showLegendKey val="0"/>
              <c:showVal val="1"/>
              <c:showCatName val="0"/>
              <c:showSerName val="0"/>
              <c:showPercent val="0"/>
              <c:showDataLabelsRange val="0"/>
              <c:separator>----</c:separator>
              <c:showLeaderLines val="0"/>
            </c:dLbl>
          </c:dLbls>
          <c:cat>
            <c:strLit>
              <c:ptCount val="2"/>
              <c:pt idx="0">
                <c:v>电子信息工程</c:v>
              </c:pt>
              <c:pt idx="1">
                <c:v>物联网工程</c:v>
              </c:pt>
            </c:strLit>
          </c:cat>
          <c:val>
            <c:numLit>
              <c:ptCount val="2"/>
              <c:pt idx="0" formatCode="General">
                <c:v>0</c:v>
              </c:pt>
              <c:pt idx="1" formatCode="General">
                <c:v>294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物理与电子信息学院2021级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8</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物理学</c:v>
              </c:pt>
            </c:strLit>
          </c:cat>
          <c:val>
            <c:numLit>
              <c:ptCount val="1"/>
              <c:pt idx="0" formatCode="General">
                <c:v>73</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外国语学院2021级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209</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250</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外国语学院2022级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16</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英语(师范类)</c:v>
              </c:pt>
            </c:strLit>
          </c:cat>
          <c:val>
            <c:numLit>
              <c:ptCount val="1"/>
              <c:pt idx="0" formatCode="General">
                <c:v>64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马克思主义学院2022级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35</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94</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kern="1200" spc="0" baseline="0">
                <a:solidFill>
                  <a:schemeClr val="tx1">
                    <a:lumMod val="65000"/>
                    <a:lumOff val="35000"/>
                  </a:schemeClr>
                </a:solidFill>
              </a:defRPr>
            </a:pPr>
            <a:r>
              <a:rPr/>
              <a:t>马克思主义学院2023级</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v>已批阅</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35</c:v>
              </c:pt>
            </c:numLit>
          </c:val>
        </c:ser>
        <c:ser>
          <c:idx val="1"/>
          <c:order val="1"/>
          <c:tx>
            <c:v>实习报告</c:v>
          </c:tx>
          <c:invertIfNegative val="0"/>
          <c:dLbls>
            <c:dLbl>
              <c:idx val="0"/>
              <c:showLegendKey val="0"/>
              <c:showVal val="1"/>
              <c:showCatName val="0"/>
              <c:showSerName val="0"/>
              <c:showPercent val="0"/>
              <c:showDataLabelsRange val="0"/>
              <c:separator>----</c:separator>
              <c:showLeaderLines val="0"/>
            </c:dLbl>
          </c:dLbls>
          <c:cat>
            <c:strLit>
              <c:ptCount val="1"/>
              <c:pt idx="0">
                <c:v>思想政治教育</c:v>
              </c:pt>
            </c:strLit>
          </c:cat>
          <c:val>
            <c:numLit>
              <c:ptCount val="1"/>
              <c:pt idx="0" formatCode="General">
                <c:v>39</c:v>
              </c:pt>
            </c:numLit>
          </c:val>
        </c:ser>
        <c:dLbls>
          <c:showLegendKey val="0"/>
          <c:showVal val="0"/>
          <c:showCatName val="0"/>
          <c:showSerName val="0"/>
          <c:showPercent val="0"/>
          <c:showBubbleSize val="0"/>
        </c:dLbls>
        <c:gapWidth val="182"/>
        <c:axId val="305304064"/>
        <c:axId val="305306024"/>
      </c:barChart>
      <c:catAx>
        <c:axId val="305304064"/>
        <c:scaling>
          <c:orientation val="minMax"/>
        </c:scaling>
        <c:delete val="0"/>
        <c:axPos val="l"/>
        <c:numFmt formatCode="General" sourceLinked="1"/>
        <c:majorTickMark val="none"/>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6024"/>
        <c:crosses val="autoZero"/>
        <c:auto val="1"/>
        <c:lblAlgn val="ctr"/>
        <c:lblOffset val="100"/>
        <c:noMultiLvlLbl val="0"/>
      </c:catAx>
      <c:valAx>
        <c:axId val="305306024"/>
        <c:scaling>
          <c:orientation val="minMax"/>
        </c:scaling>
        <c:delete val="0"/>
        <c:axPos val="b"/>
        <c:majorGridlines>
          <c:spPr>
            <a:ln w="9525">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5304064"/>
        <c:crosses val="autoZero"/>
        <c:crossBetween val="between"/>
      </c:valAx>
      <c:spPr>
        <a:noFill/>
        <a:ln>
          <a:noFill/>
        </a:ln>
        <a:effectLst/>
      </c:spPr>
    </c:plotArea>
    <c:legend>
      <c:legendPos val="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a:solidFill>
        <a:schemeClr val="tx1">
          <a:lumMod val="15000"/>
          <a:lumOff val="85000"/>
        </a:schemeClr>
      </a:solidFill>
      <a:round/>
    </a:ln>
    <a:effectLst/>
  </c:spPr>
  <c:txPr>
    <a:bodyPr/>
    <a:lstStyle/>
    <a:p>
      <a:pPr>
        <a:defRPr/>
      </a:pPr>
      <a:endParaRPr lang="en-US"/>
    </a:p>
  </c:txPr>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8"/>
    <customShpInfo spid="_x0000_s4097"/>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Pages>
  <Words>33</Words>
  <Characters>191</Characters>
  <Application>Microsoft Office Word</Application>
  <DocSecurity>0</DocSecurity>
  <Lines>1</Lines>
  <Paragraphs>1</Paragraphs>
  <ScaleCrop>false</ScaleCrop>
  <Company>china</Company>
  <LinksUpToDate>false</LinksUpToDate>
  <CharactersWithSpaces>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xybsyw</cp:lastModifiedBy>
  <cp:revision>5</cp:revision>
  <dcterms:created xsi:type="dcterms:W3CDTF">2014-10-29T12:08:00Z</dcterms:created>
  <dcterms:modified xsi:type="dcterms:W3CDTF">2022-01-24T06:31:00Z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